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EC866" w14:textId="77777777" w:rsidR="002A3DED" w:rsidRPr="00090D3E" w:rsidRDefault="002A3DED" w:rsidP="002A3DED">
      <w:pPr>
        <w:jc w:val="center"/>
      </w:pPr>
    </w:p>
    <w:tbl>
      <w:tblPr>
        <w:tblStyle w:val="Grilledutableau"/>
        <w:tblpPr w:leftFromText="141" w:rightFromText="141" w:vertAnchor="text" w:horzAnchor="margin" w:tblpXSpec="right" w:tblpY="2979"/>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814060" w:rsidRPr="00090D3E" w14:paraId="572719FD" w14:textId="77777777" w:rsidTr="00814060">
        <w:trPr>
          <w:trHeight w:val="10769"/>
        </w:trPr>
        <w:tc>
          <w:tcPr>
            <w:tcW w:w="8363" w:type="dxa"/>
          </w:tcPr>
          <w:p w14:paraId="7825ED21" w14:textId="6C5F073D" w:rsidR="00A04D9E" w:rsidRDefault="002830DD" w:rsidP="00C31945">
            <w:pPr>
              <w:pStyle w:val="0-TITRERAPPORT"/>
              <w:framePr w:hSpace="0" w:wrap="auto" w:vAnchor="margin" w:hAnchor="text" w:xAlign="left" w:yAlign="inline"/>
            </w:pPr>
            <w:r>
              <w:t>trame</w:t>
            </w:r>
            <w:r w:rsidR="004A21E7">
              <w:t xml:space="preserve"> </w:t>
            </w:r>
          </w:p>
          <w:p w14:paraId="607799E2" w14:textId="0905FD57" w:rsidR="00A04D9E" w:rsidRDefault="00010311" w:rsidP="00C31945">
            <w:pPr>
              <w:pStyle w:val="0-TITRERAPPORT"/>
              <w:framePr w:hSpace="0" w:wrap="auto" w:vAnchor="margin" w:hAnchor="text" w:xAlign="left" w:yAlign="inline"/>
            </w:pPr>
            <w:r>
              <w:t>d’</w:t>
            </w:r>
            <w:r w:rsidR="002830DD">
              <w:t>auto</w:t>
            </w:r>
            <w:r w:rsidR="004A21E7">
              <w:t>Évaluation</w:t>
            </w:r>
            <w:r w:rsidR="00A04D9E">
              <w:t xml:space="preserve"> </w:t>
            </w:r>
          </w:p>
          <w:p w14:paraId="7EBA4A9C" w14:textId="77777777" w:rsidR="00A04D9E" w:rsidRDefault="00A04D9E" w:rsidP="00C31945">
            <w:pPr>
              <w:pStyle w:val="0-TITRERAPPORT"/>
              <w:framePr w:hSpace="0" w:wrap="auto" w:vAnchor="margin" w:hAnchor="text" w:xAlign="left" w:yAlign="inline"/>
            </w:pPr>
            <w:r>
              <w:t>des</w:t>
            </w:r>
            <w:r w:rsidR="00B34C3D" w:rsidRPr="00090D3E">
              <w:t xml:space="preserve"> </w:t>
            </w:r>
            <w:r w:rsidR="002D1C0F">
              <w:t>formation</w:t>
            </w:r>
            <w:r>
              <w:t>s</w:t>
            </w:r>
            <w:r w:rsidR="002D1C0F">
              <w:t xml:space="preserve"> </w:t>
            </w:r>
          </w:p>
          <w:p w14:paraId="78962483" w14:textId="777FD925" w:rsidR="00814060" w:rsidRPr="00090D3E" w:rsidRDefault="002D1C0F" w:rsidP="00C31945">
            <w:pPr>
              <w:pStyle w:val="0-TITRERAPPORT"/>
              <w:framePr w:hSpace="0" w:wrap="auto" w:vAnchor="margin" w:hAnchor="text" w:xAlign="left" w:yAlign="inline"/>
            </w:pPr>
            <w:r>
              <w:t>d</w:t>
            </w:r>
            <w:r w:rsidR="00B838B3">
              <w:t>U</w:t>
            </w:r>
            <w:r>
              <w:t xml:space="preserve"> 3</w:t>
            </w:r>
            <w:r w:rsidRPr="002D1C0F">
              <w:rPr>
                <w:vertAlign w:val="superscript"/>
              </w:rPr>
              <w:t>è</w:t>
            </w:r>
            <w:r>
              <w:t xml:space="preserve"> cycle </w:t>
            </w:r>
          </w:p>
          <w:p w14:paraId="3303BBCA" w14:textId="77777777" w:rsidR="00814060" w:rsidRPr="00090D3E" w:rsidRDefault="00814060" w:rsidP="00814060">
            <w:pPr>
              <w:rPr>
                <w:rFonts w:eastAsia="MS Mincho"/>
                <w:caps/>
                <w:color w:val="5C2D91"/>
                <w:sz w:val="52"/>
                <w:szCs w:val="52"/>
                <w:lang w:eastAsia="ja-JP"/>
              </w:rPr>
            </w:pPr>
          </w:p>
          <w:p w14:paraId="3147F426" w14:textId="77777777" w:rsidR="00814060" w:rsidRPr="00090D3E" w:rsidRDefault="004D246E" w:rsidP="00AA76EC">
            <w:pPr>
              <w:ind w:left="0"/>
              <w:rPr>
                <w:rFonts w:eastAsia="MS Mincho"/>
                <w:b/>
                <w:color w:val="ED145B"/>
                <w:sz w:val="22"/>
                <w:szCs w:val="22"/>
                <w:lang w:eastAsia="ja-JP"/>
              </w:rPr>
            </w:pPr>
            <w:r>
              <w:rPr>
                <w:rFonts w:eastAsia="MS Mincho"/>
                <w:b/>
                <w:color w:val="ED145B"/>
                <w:sz w:val="22"/>
                <w:szCs w:val="22"/>
                <w:lang w:eastAsia="ja-JP"/>
              </w:rPr>
              <w:pict w14:anchorId="38DFB100">
                <v:rect id="_x0000_i1025" style="width:10.75pt;height:1.5pt" o:hrpct="0" o:hrstd="t" o:hrnoshade="t" o:hr="t" fillcolor="#ed145b" stroked="f"/>
              </w:pict>
            </w:r>
          </w:p>
          <w:p w14:paraId="306E1F63" w14:textId="6B6B3347" w:rsidR="00814060" w:rsidRPr="00090D3E" w:rsidRDefault="008604F8" w:rsidP="00AA76EC">
            <w:pPr>
              <w:ind w:left="0"/>
              <w:rPr>
                <w:rFonts w:eastAsia="MS Mincho"/>
                <w:b/>
                <w:caps/>
                <w:color w:val="ED145B"/>
                <w:sz w:val="32"/>
                <w:szCs w:val="32"/>
                <w:lang w:eastAsia="ja-JP"/>
              </w:rPr>
            </w:pPr>
            <w:r>
              <w:rPr>
                <w:rFonts w:eastAsia="MS Mincho"/>
                <w:b/>
                <w:caps/>
                <w:color w:val="ED145B"/>
                <w:sz w:val="32"/>
                <w:szCs w:val="32"/>
                <w:lang w:eastAsia="ja-JP"/>
              </w:rPr>
              <w:t>campagne d’Évaluation 202</w:t>
            </w:r>
            <w:r w:rsidR="009D2096">
              <w:rPr>
                <w:rFonts w:eastAsia="MS Mincho"/>
                <w:b/>
                <w:caps/>
                <w:color w:val="ED145B"/>
                <w:sz w:val="32"/>
                <w:szCs w:val="32"/>
                <w:lang w:eastAsia="ja-JP"/>
              </w:rPr>
              <w:t>4-2025</w:t>
            </w:r>
          </w:p>
          <w:p w14:paraId="0BB6DAAE" w14:textId="7DD04661" w:rsidR="00814060" w:rsidRPr="00090D3E" w:rsidRDefault="008604F8" w:rsidP="00AA76EC">
            <w:pPr>
              <w:ind w:left="0"/>
              <w:rPr>
                <w:rFonts w:eastAsia="MS Mincho"/>
                <w:color w:val="ED145B"/>
                <w:sz w:val="32"/>
                <w:szCs w:val="32"/>
                <w:lang w:eastAsia="ja-JP"/>
              </w:rPr>
            </w:pPr>
            <w:r>
              <w:rPr>
                <w:rFonts w:eastAsia="MS Mincho"/>
                <w:color w:val="ED145B"/>
                <w:sz w:val="32"/>
                <w:szCs w:val="32"/>
                <w:lang w:eastAsia="ja-JP"/>
              </w:rPr>
              <w:t xml:space="preserve">VAGUE </w:t>
            </w:r>
            <w:r w:rsidR="009D2096">
              <w:rPr>
                <w:rFonts w:eastAsia="MS Mincho"/>
                <w:color w:val="ED145B"/>
                <w:sz w:val="32"/>
                <w:szCs w:val="32"/>
                <w:lang w:eastAsia="ja-JP"/>
              </w:rPr>
              <w:t>E</w:t>
            </w:r>
          </w:p>
          <w:p w14:paraId="00F00428" w14:textId="77777777" w:rsidR="00814060" w:rsidRPr="00090D3E" w:rsidRDefault="00814060" w:rsidP="00AA76EC">
            <w:pPr>
              <w:ind w:left="0"/>
              <w:rPr>
                <w:rFonts w:eastAsia="MS Mincho"/>
                <w:b/>
                <w:sz w:val="22"/>
                <w:szCs w:val="22"/>
                <w:lang w:eastAsia="ja-JP"/>
              </w:rPr>
            </w:pPr>
          </w:p>
          <w:p w14:paraId="12DC15D3" w14:textId="77777777" w:rsidR="00814060" w:rsidRPr="00090D3E" w:rsidRDefault="00814060" w:rsidP="00AA76EC">
            <w:pPr>
              <w:ind w:left="0"/>
              <w:rPr>
                <w:rFonts w:eastAsia="MS Mincho"/>
                <w:b/>
                <w:sz w:val="22"/>
                <w:szCs w:val="22"/>
                <w:lang w:eastAsia="ja-JP"/>
              </w:rPr>
            </w:pPr>
          </w:p>
          <w:p w14:paraId="203E0856" w14:textId="77777777" w:rsidR="00814060" w:rsidRPr="00090D3E" w:rsidRDefault="00814060" w:rsidP="00AA76EC">
            <w:pPr>
              <w:ind w:left="0"/>
              <w:rPr>
                <w:b/>
                <w:sz w:val="22"/>
                <w:szCs w:val="22"/>
              </w:rPr>
            </w:pPr>
          </w:p>
          <w:p w14:paraId="05A71D5C" w14:textId="575A7EAF" w:rsidR="00AF30C4" w:rsidRDefault="00AF30C4" w:rsidP="00AF30C4">
            <w:pPr>
              <w:pStyle w:val="TM1"/>
              <w:rPr>
                <w:rFonts w:asciiTheme="minorHAnsi" w:hAnsiTheme="minorHAnsi"/>
              </w:rPr>
            </w:pPr>
          </w:p>
          <w:p w14:paraId="06D29191" w14:textId="5400D8D3" w:rsidR="00814060" w:rsidRPr="00090D3E" w:rsidRDefault="00814060" w:rsidP="00AA76EC">
            <w:pPr>
              <w:ind w:left="0"/>
            </w:pPr>
          </w:p>
        </w:tc>
      </w:tr>
    </w:tbl>
    <w:p w14:paraId="1EFA9C84" w14:textId="77777777" w:rsidR="002A3DED" w:rsidRPr="00090D3E" w:rsidRDefault="002A3DED" w:rsidP="002A3DED">
      <w:pPr>
        <w:jc w:val="center"/>
      </w:pPr>
    </w:p>
    <w:p w14:paraId="7F7CEF92" w14:textId="543A3C8E" w:rsidR="006A4F95" w:rsidRDefault="006A4F95" w:rsidP="006802AA"/>
    <w:p w14:paraId="5931FB36" w14:textId="2BF6B288" w:rsidR="00D643BB" w:rsidRDefault="00D643BB" w:rsidP="006802AA"/>
    <w:p w14:paraId="322BC999" w14:textId="0B7C7C28" w:rsidR="00D643BB" w:rsidRDefault="00D643BB" w:rsidP="006802AA"/>
    <w:p w14:paraId="341388FC" w14:textId="1AAFF4C5" w:rsidR="00D643BB" w:rsidRDefault="00D643BB" w:rsidP="006802AA"/>
    <w:p w14:paraId="6B4DDA1E" w14:textId="77777777" w:rsidR="00D643BB" w:rsidRPr="00090D3E" w:rsidRDefault="00D643BB" w:rsidP="006802AA">
      <w:pPr>
        <w:sectPr w:rsidR="00D643BB" w:rsidRPr="00090D3E" w:rsidSect="006802AA">
          <w:headerReference w:type="default" r:id="rId8"/>
          <w:footerReference w:type="default" r:id="rId9"/>
          <w:headerReference w:type="first" r:id="rId10"/>
          <w:pgSz w:w="11900" w:h="16840"/>
          <w:pgMar w:top="1134" w:right="701" w:bottom="851" w:left="1134" w:header="709" w:footer="709" w:gutter="0"/>
          <w:pgNumType w:start="1"/>
          <w:cols w:space="708"/>
          <w:titlePg/>
          <w:docGrid w:linePitch="326"/>
        </w:sectPr>
      </w:pPr>
    </w:p>
    <w:p w14:paraId="2FA0FFC3" w14:textId="33B381A6" w:rsidR="00FC657A" w:rsidRDefault="002D1C0F" w:rsidP="00514F29">
      <w:pPr>
        <w:pStyle w:val="1-TITRE1"/>
        <w:rPr>
          <w:noProof w:val="0"/>
        </w:rPr>
      </w:pPr>
      <w:r w:rsidRPr="002D1C0F">
        <w:rPr>
          <w:noProof w:val="0"/>
        </w:rPr>
        <w:lastRenderedPageBreak/>
        <w:t>DOMAINE 1</w:t>
      </w:r>
      <w:r w:rsidR="003C3531">
        <w:rPr>
          <w:noProof w:val="0"/>
        </w:rPr>
        <w:t> :</w:t>
      </w:r>
      <w:r w:rsidRPr="002D1C0F">
        <w:rPr>
          <w:noProof w:val="0"/>
        </w:rPr>
        <w:t xml:space="preserve"> LA POLITIQUE DE </w:t>
      </w:r>
      <w:r w:rsidR="009F155A">
        <w:rPr>
          <w:noProof w:val="0"/>
        </w:rPr>
        <w:t xml:space="preserve">la </w:t>
      </w:r>
      <w:r w:rsidRPr="002D1C0F">
        <w:rPr>
          <w:noProof w:val="0"/>
        </w:rPr>
        <w:t>FORMATIO</w:t>
      </w:r>
      <w:r w:rsidR="00C34C6A">
        <w:rPr>
          <w:noProof w:val="0"/>
        </w:rPr>
        <w:t xml:space="preserve">N DOCTORALE MENÉE DANS LE </w:t>
      </w:r>
      <w:bookmarkStart w:id="0" w:name="_GoBack"/>
      <w:bookmarkEnd w:id="0"/>
      <w:r w:rsidR="00C34C6A">
        <w:rPr>
          <w:noProof w:val="0"/>
        </w:rPr>
        <w:t>PÉRIMÈ</w:t>
      </w:r>
      <w:r w:rsidRPr="002D1C0F">
        <w:rPr>
          <w:noProof w:val="0"/>
        </w:rPr>
        <w:t>TRE DE L’ÉCOLE DOCTORALE</w:t>
      </w:r>
    </w:p>
    <w:p w14:paraId="237E1E01" w14:textId="305767B5" w:rsidR="00B34C3D" w:rsidRDefault="003D77D0" w:rsidP="00FC657A">
      <w:pPr>
        <w:pStyle w:val="2-TITRE2"/>
        <w:spacing w:before="0" w:after="0"/>
        <w:rPr>
          <w:w w:val="105"/>
        </w:rPr>
      </w:pPr>
      <w:r w:rsidRPr="003D77D0">
        <w:rPr>
          <w:w w:val="105"/>
        </w:rPr>
        <w:t>Référence 1</w:t>
      </w:r>
      <w:r w:rsidR="003C3531">
        <w:rPr>
          <w:w w:val="105"/>
        </w:rPr>
        <w:t> :</w:t>
      </w:r>
      <w:r w:rsidRPr="003D77D0">
        <w:rPr>
          <w:w w:val="105"/>
        </w:rPr>
        <w:t xml:space="preserve"> La formation doctorale élaborée et mise e</w:t>
      </w:r>
      <w:r w:rsidR="00FC657A">
        <w:rPr>
          <w:w w:val="105"/>
        </w:rPr>
        <w:t>n œuvre dans le périmètre de l’é</w:t>
      </w:r>
      <w:r w:rsidRPr="003D77D0">
        <w:rPr>
          <w:w w:val="105"/>
        </w:rPr>
        <w:t>cole doctorale est cohérente avec le positionnement et la stratégie de l’établissement.</w:t>
      </w:r>
    </w:p>
    <w:p w14:paraId="2432596E" w14:textId="77777777" w:rsidR="00BE3E84" w:rsidRPr="0018325C" w:rsidRDefault="00BE3E84" w:rsidP="00BE3E84">
      <w:pPr>
        <w:rPr>
          <w:rFonts w:ascii="Verdana" w:hAnsi="Verdana"/>
          <w:sz w:val="16"/>
          <w:szCs w:val="16"/>
        </w:rPr>
      </w:pPr>
    </w:p>
    <w:p w14:paraId="75285EDD" w14:textId="77777777" w:rsidR="00DC14E9" w:rsidRPr="00DC14E9" w:rsidRDefault="00DC14E9" w:rsidP="00DC14E9">
      <w:pPr>
        <w:pStyle w:val="5-POINTSFORTSETFAIBLES"/>
        <w:numPr>
          <w:ilvl w:val="0"/>
          <w:numId w:val="40"/>
        </w:numPr>
        <w:spacing w:before="120"/>
        <w:ind w:left="851" w:hanging="284"/>
        <w:rPr>
          <w:rFonts w:ascii="Century Gothic" w:hAnsi="Century Gothic"/>
          <w:lang w:eastAsia="en-US"/>
        </w:rPr>
      </w:pPr>
      <w:r w:rsidRPr="00DC14E9">
        <w:rPr>
          <w:rFonts w:ascii="Century Gothic" w:hAnsi="Century Gothic"/>
          <w:lang w:eastAsia="en-US"/>
        </w:rPr>
        <w:t>C1. Le périmètre de l’école doctorale couvre un ou plusieurs domaines scientifiques déclinés chacun en une ou plusieurs spécialités de doctorat et adossés aux axes scientifiques d’unités de recherche de qualité et reconnues, qui lui sont rattachées.</w:t>
      </w:r>
    </w:p>
    <w:p w14:paraId="28CC3E58" w14:textId="77777777" w:rsidR="00DC14E9" w:rsidRPr="00DC14E9" w:rsidRDefault="00DC14E9" w:rsidP="00DC14E9">
      <w:pPr>
        <w:pStyle w:val="5-POINTSFORTSETFAIBLES"/>
        <w:numPr>
          <w:ilvl w:val="0"/>
          <w:numId w:val="40"/>
        </w:numPr>
        <w:spacing w:before="120"/>
        <w:ind w:left="851" w:hanging="284"/>
        <w:rPr>
          <w:rFonts w:ascii="Century Gothic" w:hAnsi="Century Gothic"/>
          <w:lang w:eastAsia="en-US"/>
        </w:rPr>
      </w:pPr>
      <w:r w:rsidRPr="00DC14E9">
        <w:rPr>
          <w:rFonts w:ascii="Century Gothic" w:hAnsi="Century Gothic"/>
          <w:lang w:eastAsia="en-US"/>
        </w:rPr>
        <w:t>C2. La formation doctorale mise en œuvre dans ce périmètre s’inscrit dans les ambitions, dans les orientations scientifiques et dans les priorités thématiques de l’établissement.</w:t>
      </w:r>
    </w:p>
    <w:p w14:paraId="4C27020C" w14:textId="3E808BC3" w:rsidR="00DC14E9" w:rsidRPr="00DC14E9" w:rsidRDefault="00DC14E9" w:rsidP="00DC14E9">
      <w:pPr>
        <w:pStyle w:val="5-POINTSFORTSETFAIBLES"/>
        <w:numPr>
          <w:ilvl w:val="0"/>
          <w:numId w:val="40"/>
        </w:numPr>
        <w:spacing w:before="120"/>
        <w:ind w:left="851" w:hanging="284"/>
        <w:rPr>
          <w:rFonts w:ascii="Century Gothic" w:hAnsi="Century Gothic"/>
          <w:lang w:eastAsia="en-US"/>
        </w:rPr>
      </w:pPr>
      <w:r w:rsidRPr="00DC14E9">
        <w:rPr>
          <w:rFonts w:ascii="Century Gothic" w:hAnsi="Century Gothic"/>
          <w:lang w:eastAsia="en-US"/>
        </w:rPr>
        <w:t>C3. La formation doctorale est construite en articulation avec les formations du 2</w:t>
      </w:r>
      <w:r w:rsidRPr="00DC14E9">
        <w:rPr>
          <w:rFonts w:ascii="Century Gothic" w:hAnsi="Century Gothic"/>
          <w:vertAlign w:val="superscript"/>
          <w:lang w:eastAsia="en-US"/>
        </w:rPr>
        <w:t>e</w:t>
      </w:r>
      <w:r w:rsidRPr="00DC14E9">
        <w:rPr>
          <w:rFonts w:ascii="Century Gothic" w:hAnsi="Century Gothic"/>
          <w:lang w:eastAsia="en-US"/>
        </w:rPr>
        <w:t xml:space="preserve"> cycle et, le cas échéant, avec celles du 3</w:t>
      </w:r>
      <w:r w:rsidRPr="00DC14E9">
        <w:rPr>
          <w:rFonts w:ascii="Century Gothic" w:hAnsi="Century Gothic"/>
          <w:vertAlign w:val="superscript"/>
          <w:lang w:eastAsia="en-US"/>
        </w:rPr>
        <w:t>e</w:t>
      </w:r>
      <w:r w:rsidRPr="00DC14E9">
        <w:rPr>
          <w:rFonts w:ascii="Century Gothic" w:hAnsi="Century Gothic"/>
          <w:lang w:eastAsia="en-US"/>
        </w:rPr>
        <w:t xml:space="preserve"> cycle des formations de santé. Elle s’inscrit, le cas échéant, dans un programme de formation et de recherche qui intègre de façon coordonnée masters, formation(s) doctorale(s) et unité de recherche.</w:t>
      </w:r>
    </w:p>
    <w:p w14:paraId="64BB1951" w14:textId="01B9B37A" w:rsidR="00BE7060" w:rsidRPr="00DC14E9" w:rsidRDefault="004B0A00" w:rsidP="00BE7060">
      <w:pPr>
        <w:pStyle w:val="5-POINTSFORTSETFAIBLES"/>
        <w:numPr>
          <w:ilvl w:val="0"/>
          <w:numId w:val="40"/>
        </w:numPr>
        <w:spacing w:before="120"/>
        <w:ind w:left="851" w:hanging="284"/>
        <w:rPr>
          <w:rFonts w:ascii="Century Gothic" w:hAnsi="Century Gothic"/>
          <w:lang w:eastAsia="en-US"/>
        </w:rPr>
      </w:pPr>
      <w:r w:rsidRPr="00DC14E9">
        <w:rPr>
          <w:rFonts w:ascii="Century Gothic" w:hAnsi="Century Gothic"/>
          <w:lang w:eastAsia="en-US"/>
        </w:rPr>
        <w:t>C4. La formation doctorale intègre l’apport de la pluridisciplinar</w:t>
      </w:r>
      <w:r w:rsidR="00BE7060" w:rsidRPr="00DC14E9">
        <w:rPr>
          <w:rFonts w:ascii="Century Gothic" w:hAnsi="Century Gothic"/>
          <w:lang w:eastAsia="en-US"/>
        </w:rPr>
        <w:t>ité et de l’interdisciplinarité</w:t>
      </w:r>
      <w:r w:rsidRPr="00DC14E9">
        <w:rPr>
          <w:rFonts w:ascii="Century Gothic" w:hAnsi="Century Gothic"/>
          <w:lang w:eastAsia="en-US"/>
        </w:rPr>
        <w:t xml:space="preserve"> dans sa finalité et </w:t>
      </w:r>
      <w:r w:rsidR="009510EE" w:rsidRPr="00DC14E9">
        <w:rPr>
          <w:rFonts w:ascii="Century Gothic" w:hAnsi="Century Gothic"/>
          <w:lang w:eastAsia="en-US"/>
        </w:rPr>
        <w:t xml:space="preserve">dans </w:t>
      </w:r>
      <w:r w:rsidRPr="00DC14E9">
        <w:rPr>
          <w:rFonts w:ascii="Century Gothic" w:hAnsi="Century Gothic"/>
          <w:lang w:eastAsia="en-US"/>
        </w:rPr>
        <w:t>son contenu.</w:t>
      </w:r>
    </w:p>
    <w:p w14:paraId="764D30F7" w14:textId="40289C5A" w:rsidR="00BE7060" w:rsidRPr="00DC14E9" w:rsidRDefault="004B0A00" w:rsidP="00BE7060">
      <w:pPr>
        <w:pStyle w:val="5-POINTSFORTSETFAIBLES"/>
        <w:numPr>
          <w:ilvl w:val="0"/>
          <w:numId w:val="40"/>
        </w:numPr>
        <w:spacing w:before="120"/>
        <w:ind w:left="851" w:hanging="284"/>
        <w:rPr>
          <w:rFonts w:ascii="Century Gothic" w:hAnsi="Century Gothic"/>
          <w:lang w:eastAsia="en-US"/>
        </w:rPr>
      </w:pPr>
      <w:r w:rsidRPr="00DC14E9">
        <w:rPr>
          <w:rFonts w:ascii="Century Gothic" w:hAnsi="Century Gothic"/>
          <w:lang w:eastAsia="en-US"/>
        </w:rPr>
        <w:t>C5. La formation doctorale intègre les enjeu</w:t>
      </w:r>
      <w:r w:rsidR="00796D64" w:rsidRPr="00DC14E9">
        <w:rPr>
          <w:rFonts w:ascii="Century Gothic" w:hAnsi="Century Gothic"/>
          <w:lang w:eastAsia="en-US"/>
        </w:rPr>
        <w:t>x du développement durable</w:t>
      </w:r>
      <w:r w:rsidRPr="00DC14E9">
        <w:rPr>
          <w:rFonts w:ascii="Century Gothic" w:hAnsi="Century Gothic"/>
          <w:lang w:eastAsia="en-US"/>
        </w:rPr>
        <w:t>, qui irriguent la posture et les travaux de recherche des doctorants.</w:t>
      </w:r>
    </w:p>
    <w:p w14:paraId="70606AC7" w14:textId="74562E44" w:rsidR="007A585B" w:rsidRDefault="004B0A00" w:rsidP="007A585B">
      <w:pPr>
        <w:pStyle w:val="5-POINTSFORTSETFAIBLES"/>
        <w:numPr>
          <w:ilvl w:val="0"/>
          <w:numId w:val="40"/>
        </w:numPr>
        <w:spacing w:before="120"/>
        <w:ind w:left="851" w:hanging="284"/>
        <w:rPr>
          <w:rFonts w:ascii="Century Gothic" w:hAnsi="Century Gothic"/>
          <w:lang w:eastAsia="en-US"/>
        </w:rPr>
      </w:pPr>
      <w:r w:rsidRPr="00DC14E9">
        <w:rPr>
          <w:rFonts w:ascii="Century Gothic" w:hAnsi="Century Gothic"/>
          <w:lang w:eastAsia="en-US"/>
        </w:rPr>
        <w:t>C6. Avec la contribution de ses partenaires, la formation doctorale inclut des animations et des manifestations scientifiques, professionnalisantes et de médiation scientifique.</w:t>
      </w:r>
    </w:p>
    <w:p w14:paraId="2939CD0F" w14:textId="7E16032F" w:rsidR="00DC14E9" w:rsidRPr="00DC14E9" w:rsidRDefault="00DC14E9" w:rsidP="007A585B">
      <w:pPr>
        <w:pStyle w:val="5-POINTSFORTSETFAIBLES"/>
        <w:numPr>
          <w:ilvl w:val="0"/>
          <w:numId w:val="40"/>
        </w:numPr>
        <w:spacing w:before="120"/>
        <w:ind w:left="851" w:hanging="284"/>
        <w:rPr>
          <w:rFonts w:ascii="Century Gothic" w:hAnsi="Century Gothic"/>
          <w:lang w:eastAsia="en-US"/>
        </w:rPr>
      </w:pPr>
      <w:r w:rsidRPr="00DC14E9">
        <w:rPr>
          <w:rFonts w:ascii="Century Gothic" w:hAnsi="Century Gothic"/>
        </w:rPr>
        <w:t>C7. La formation doctorale s’appuie sur les actions menées et les moyens obtenus dans le cadre des projets du programme d’investissements d’avenir (PIA), pour dynamiser son contenu et ses dispositifs.</w:t>
      </w:r>
    </w:p>
    <w:p w14:paraId="783C7EAC" w14:textId="77777777" w:rsidR="00375322" w:rsidRPr="00DC14E9" w:rsidRDefault="00375322" w:rsidP="00375322">
      <w:pPr>
        <w:pStyle w:val="5-POINTSFORTSETFAIBLES"/>
        <w:spacing w:before="120"/>
        <w:ind w:left="851"/>
        <w:rPr>
          <w:rFonts w:ascii="Verdana" w:hAnsi="Verdana"/>
          <w:sz w:val="16"/>
          <w:szCs w:val="16"/>
          <w:lang w:eastAsia="en-US"/>
        </w:rPr>
      </w:pPr>
    </w:p>
    <w:p w14:paraId="071A4BB8" w14:textId="4B1F9ECD" w:rsidR="00A04D9E" w:rsidRDefault="00FF230F" w:rsidP="00A04D9E">
      <w:pPr>
        <w:pStyle w:val="2-TITRE2"/>
        <w:rPr>
          <w:w w:val="105"/>
        </w:rPr>
      </w:pPr>
      <w:r w:rsidRPr="00FF230F">
        <w:rPr>
          <w:w w:val="105"/>
        </w:rPr>
        <w:t>Référence 2</w:t>
      </w:r>
      <w:r w:rsidR="003C3531">
        <w:rPr>
          <w:w w:val="105"/>
        </w:rPr>
        <w:t> :</w:t>
      </w:r>
      <w:r w:rsidRPr="00FF230F">
        <w:rPr>
          <w:w w:val="105"/>
        </w:rPr>
        <w:t xml:space="preserve"> La structuration de la formation doctorale est cohérente avec l’organisation de l’établissement et représente une valeur ajoutée pour ses partenariats.</w:t>
      </w:r>
    </w:p>
    <w:p w14:paraId="171C0580" w14:textId="77777777" w:rsidR="0018325C" w:rsidRPr="0018325C" w:rsidRDefault="0018325C" w:rsidP="0018325C">
      <w:pPr>
        <w:rPr>
          <w:rFonts w:ascii="Verdana" w:hAnsi="Verdana"/>
          <w:sz w:val="16"/>
          <w:szCs w:val="16"/>
        </w:rPr>
      </w:pPr>
    </w:p>
    <w:p w14:paraId="47CD6F2F" w14:textId="05F67196" w:rsidR="00BE7060" w:rsidRDefault="00BE7060" w:rsidP="00BE7060">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C1. L’é</w:t>
      </w:r>
      <w:r w:rsidRPr="00BE7060">
        <w:rPr>
          <w:rFonts w:ascii="Century Gothic" w:hAnsi="Century Gothic"/>
          <w:lang w:eastAsia="en-US"/>
        </w:rPr>
        <w:t xml:space="preserve">cole doctorale assure, dans son périmètre, la mise en œuvre de la formation doctorale. Elle se coordonne dans cette mission avec les unités de recherche qui lui sont rattachées, avec les autres écoles doctorales, </w:t>
      </w:r>
      <w:r w:rsidR="00AF37ED">
        <w:rPr>
          <w:rFonts w:ascii="Century Gothic" w:hAnsi="Century Gothic"/>
          <w:lang w:eastAsia="en-US"/>
        </w:rPr>
        <w:t xml:space="preserve">avec </w:t>
      </w:r>
      <w:r w:rsidRPr="00BE7060">
        <w:rPr>
          <w:rFonts w:ascii="Century Gothic" w:hAnsi="Century Gothic"/>
          <w:lang w:eastAsia="en-US"/>
        </w:rPr>
        <w:t>le</w:t>
      </w:r>
      <w:r w:rsidR="00D713E9">
        <w:rPr>
          <w:rFonts w:ascii="Century Gothic" w:hAnsi="Century Gothic"/>
          <w:lang w:eastAsia="en-US"/>
        </w:rPr>
        <w:t>s composantes</w:t>
      </w:r>
      <w:r w:rsidR="008C7A5A">
        <w:rPr>
          <w:rFonts w:ascii="Century Gothic" w:hAnsi="Century Gothic"/>
          <w:lang w:eastAsia="en-US"/>
        </w:rPr>
        <w:t xml:space="preserve"> et, le cas échéant, avec le c</w:t>
      </w:r>
      <w:r w:rsidRPr="00BE7060">
        <w:rPr>
          <w:rFonts w:ascii="Century Gothic" w:hAnsi="Century Gothic"/>
          <w:lang w:eastAsia="en-US"/>
        </w:rPr>
        <w:t>ollège doctoral de l’établissement.</w:t>
      </w:r>
    </w:p>
    <w:p w14:paraId="0E15367D" w14:textId="045E76FA" w:rsidR="00B34C3D" w:rsidRDefault="00BE7060" w:rsidP="00926CC8">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C2. L’é</w:t>
      </w:r>
      <w:r w:rsidRPr="00BE7060">
        <w:rPr>
          <w:rFonts w:ascii="Century Gothic" w:hAnsi="Century Gothic"/>
          <w:lang w:eastAsia="en-US"/>
        </w:rPr>
        <w:t>cole s’assure de la réalité et de la valeur ajoutée de ses partenariats académiques, en particulier dans le cas d’une co-accréditation portée par une coordination territoriale ou par les établissemen</w:t>
      </w:r>
      <w:r w:rsidR="00F64681">
        <w:rPr>
          <w:rFonts w:ascii="Century Gothic" w:hAnsi="Century Gothic"/>
          <w:lang w:eastAsia="en-US"/>
        </w:rPr>
        <w:t>ts du site. Le cas échéant, l’école doctorale</w:t>
      </w:r>
      <w:r w:rsidRPr="00BE7060">
        <w:rPr>
          <w:rFonts w:ascii="Century Gothic" w:hAnsi="Century Gothic"/>
          <w:lang w:eastAsia="en-US"/>
        </w:rPr>
        <w:t xml:space="preserve"> précise l’articulation de ses missions avec celles du collège doctoral du site.</w:t>
      </w:r>
    </w:p>
    <w:p w14:paraId="370701B4" w14:textId="77777777" w:rsidR="00926CC8" w:rsidRPr="0018325C" w:rsidRDefault="00926CC8" w:rsidP="00926CC8">
      <w:pPr>
        <w:pStyle w:val="5-POINTSFORTSETFAIBLES"/>
        <w:spacing w:before="0"/>
        <w:ind w:left="851"/>
        <w:rPr>
          <w:rFonts w:ascii="Verdana" w:hAnsi="Verdana"/>
          <w:sz w:val="16"/>
          <w:szCs w:val="16"/>
          <w:lang w:eastAsia="en-US"/>
        </w:rPr>
      </w:pPr>
    </w:p>
    <w:p w14:paraId="5ED803F8" w14:textId="2BEB3D3A" w:rsidR="00B34C3D" w:rsidRDefault="00FF230F" w:rsidP="00B34C3D">
      <w:pPr>
        <w:pStyle w:val="2-TITRE2"/>
        <w:rPr>
          <w:w w:val="105"/>
        </w:rPr>
      </w:pPr>
      <w:r w:rsidRPr="00FF230F">
        <w:rPr>
          <w:w w:val="105"/>
        </w:rPr>
        <w:t>Référence 3</w:t>
      </w:r>
      <w:r w:rsidR="003C3531">
        <w:rPr>
          <w:w w:val="105"/>
        </w:rPr>
        <w:t> :</w:t>
      </w:r>
      <w:r w:rsidRPr="00FF230F">
        <w:rPr>
          <w:w w:val="105"/>
        </w:rPr>
        <w:t xml:space="preserve"> La formation doctorale inclut une formation à et par la recherche</w:t>
      </w:r>
      <w:r w:rsidR="007E2E03">
        <w:rPr>
          <w:w w:val="105"/>
        </w:rPr>
        <w:t>,</w:t>
      </w:r>
      <w:r w:rsidRPr="00FF230F">
        <w:rPr>
          <w:w w:val="105"/>
        </w:rPr>
        <w:t xml:space="preserve"> qui contribue à l’élaboration des travaux de recherche des doctorants.</w:t>
      </w:r>
    </w:p>
    <w:p w14:paraId="7A98ACDD" w14:textId="77777777" w:rsidR="0018325C" w:rsidRPr="0018325C" w:rsidRDefault="0018325C" w:rsidP="0018325C">
      <w:pPr>
        <w:ind w:left="0"/>
        <w:rPr>
          <w:rFonts w:ascii="Verdana" w:hAnsi="Verdana"/>
          <w:sz w:val="16"/>
          <w:szCs w:val="16"/>
        </w:rPr>
      </w:pPr>
    </w:p>
    <w:p w14:paraId="5A9C93B3" w14:textId="2EB8E399" w:rsidR="0053185C" w:rsidRDefault="0053185C" w:rsidP="0053185C">
      <w:pPr>
        <w:pStyle w:val="5-POINTSFORTSETFAIBLES"/>
        <w:numPr>
          <w:ilvl w:val="0"/>
          <w:numId w:val="40"/>
        </w:numPr>
        <w:spacing w:before="120"/>
        <w:ind w:left="851" w:hanging="284"/>
        <w:rPr>
          <w:rFonts w:ascii="Century Gothic" w:hAnsi="Century Gothic"/>
          <w:lang w:eastAsia="en-US"/>
        </w:rPr>
      </w:pPr>
      <w:r w:rsidRPr="0053185C">
        <w:rPr>
          <w:rFonts w:ascii="Century Gothic" w:hAnsi="Century Gothic"/>
          <w:lang w:eastAsia="en-US"/>
        </w:rPr>
        <w:t>C1. L’offre de formation doctorale est construite en cohérence avec l</w:t>
      </w:r>
      <w:r w:rsidR="00F64681">
        <w:rPr>
          <w:rFonts w:ascii="Century Gothic" w:hAnsi="Century Gothic"/>
          <w:lang w:eastAsia="en-US"/>
        </w:rPr>
        <w:t xml:space="preserve">e périmètre scientifique de l’école doctorale </w:t>
      </w:r>
      <w:r w:rsidR="00B76684">
        <w:rPr>
          <w:rFonts w:ascii="Century Gothic" w:hAnsi="Century Gothic"/>
          <w:lang w:eastAsia="en-US"/>
        </w:rPr>
        <w:t>et</w:t>
      </w:r>
      <w:r w:rsidRPr="0053185C">
        <w:rPr>
          <w:rFonts w:ascii="Century Gothic" w:hAnsi="Century Gothic"/>
          <w:lang w:eastAsia="en-US"/>
        </w:rPr>
        <w:t xml:space="preserve"> intègre une formation aux différentes compétences nécessaires à l’élaboration du projet de recherche des doctorants. </w:t>
      </w:r>
    </w:p>
    <w:p w14:paraId="7641372C" w14:textId="573D79F5" w:rsidR="00510147" w:rsidRDefault="00510147" w:rsidP="00510147">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C2</w:t>
      </w:r>
      <w:r w:rsidRPr="00E25EBE">
        <w:rPr>
          <w:rFonts w:ascii="Century Gothic" w:hAnsi="Century Gothic"/>
          <w:lang w:eastAsia="en-US"/>
        </w:rPr>
        <w:t>. Les enseignants-chercheurs e</w:t>
      </w:r>
      <w:r>
        <w:rPr>
          <w:rFonts w:ascii="Century Gothic" w:hAnsi="Century Gothic"/>
          <w:lang w:eastAsia="en-US"/>
        </w:rPr>
        <w:t>t les chercheurs associés à l’école doctorale</w:t>
      </w:r>
      <w:r w:rsidRPr="00E25EBE">
        <w:rPr>
          <w:rFonts w:ascii="Century Gothic" w:hAnsi="Century Gothic"/>
          <w:lang w:eastAsia="en-US"/>
        </w:rPr>
        <w:t xml:space="preserve"> participent à la formation doctorale. </w:t>
      </w:r>
    </w:p>
    <w:p w14:paraId="48938CB8" w14:textId="076B8298" w:rsidR="0053185C" w:rsidRPr="009D2096" w:rsidRDefault="00510147" w:rsidP="0053185C">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C3</w:t>
      </w:r>
      <w:r w:rsidR="0053185C" w:rsidRPr="0053185C">
        <w:rPr>
          <w:rFonts w:ascii="Century Gothic" w:hAnsi="Century Gothic"/>
          <w:lang w:eastAsia="en-US"/>
        </w:rPr>
        <w:t>. La formation à la recherche inclut une formation à l’éthique de la recherche, à l’intégrité scientifique et à la déontologie</w:t>
      </w:r>
      <w:r w:rsidR="00006668">
        <w:rPr>
          <w:rFonts w:ascii="Century Gothic" w:hAnsi="Century Gothic"/>
          <w:lang w:eastAsia="en-US"/>
        </w:rPr>
        <w:t>,</w:t>
      </w:r>
      <w:r w:rsidR="0053185C" w:rsidRPr="0053185C">
        <w:rPr>
          <w:rFonts w:ascii="Century Gothic" w:hAnsi="Century Gothic"/>
          <w:lang w:eastAsia="en-US"/>
        </w:rPr>
        <w:t xml:space="preserve"> qui irrigue la posture et les travaux de recherche des doctorants.</w:t>
      </w:r>
      <w:r w:rsidR="009D2096">
        <w:rPr>
          <w:rFonts w:ascii="Century Gothic" w:hAnsi="Century Gothic"/>
          <w:lang w:eastAsia="en-US"/>
        </w:rPr>
        <w:t xml:space="preserve"> </w:t>
      </w:r>
      <w:r w:rsidR="009D2096" w:rsidRPr="009D2096">
        <w:rPr>
          <w:rFonts w:ascii="Century Gothic" w:hAnsi="Century Gothic"/>
          <w:lang w:eastAsia="en-US"/>
        </w:rPr>
        <w:t xml:space="preserve">Elle </w:t>
      </w:r>
      <w:r w:rsidR="009D2096" w:rsidRPr="009D2096">
        <w:rPr>
          <w:rFonts w:ascii="Century Gothic" w:hAnsi="Century Gothic"/>
          <w:lang w:eastAsia="en-US"/>
        </w:rPr>
        <w:lastRenderedPageBreak/>
        <w:t>se traduit aussi par la mise en place de la prestation du serment d’intégrité scientifique, qui fait l’objet d’une communication auprès des doctorants.</w:t>
      </w:r>
    </w:p>
    <w:p w14:paraId="0D28E1D7" w14:textId="118FB97D" w:rsidR="0053185C" w:rsidRDefault="00510147" w:rsidP="0053185C">
      <w:pPr>
        <w:pStyle w:val="5-POINTSFORTSETFAIBLES"/>
        <w:numPr>
          <w:ilvl w:val="0"/>
          <w:numId w:val="40"/>
        </w:numPr>
        <w:spacing w:before="120"/>
        <w:ind w:left="851" w:hanging="284"/>
        <w:rPr>
          <w:rFonts w:ascii="Century Gothic" w:hAnsi="Century Gothic"/>
          <w:lang w:eastAsia="en-US"/>
        </w:rPr>
      </w:pPr>
      <w:r w:rsidRPr="009D2096">
        <w:rPr>
          <w:rFonts w:ascii="Century Gothic" w:hAnsi="Century Gothic"/>
          <w:lang w:eastAsia="en-US"/>
        </w:rPr>
        <w:t>C4</w:t>
      </w:r>
      <w:r w:rsidR="0053185C" w:rsidRPr="009D2096">
        <w:rPr>
          <w:rFonts w:ascii="Century Gothic" w:hAnsi="Century Gothic"/>
          <w:lang w:eastAsia="en-US"/>
        </w:rPr>
        <w:t>. La formation par la recherche des doctorants s’appuie sur leur participation, pendant et après</w:t>
      </w:r>
      <w:r w:rsidR="0053185C" w:rsidRPr="0053185C">
        <w:rPr>
          <w:rFonts w:ascii="Century Gothic" w:hAnsi="Century Gothic"/>
          <w:lang w:eastAsia="en-US"/>
        </w:rPr>
        <w:t xml:space="preserve"> la thèse, aux activités et à la production scientifique</w:t>
      </w:r>
      <w:r w:rsidR="007E2E03">
        <w:rPr>
          <w:rFonts w:ascii="Century Gothic" w:hAnsi="Century Gothic"/>
          <w:lang w:eastAsia="en-US"/>
        </w:rPr>
        <w:t>s</w:t>
      </w:r>
      <w:r w:rsidR="0053185C" w:rsidRPr="0053185C">
        <w:rPr>
          <w:rFonts w:ascii="Century Gothic" w:hAnsi="Century Gothic"/>
          <w:lang w:eastAsia="en-US"/>
        </w:rPr>
        <w:t xml:space="preserve"> de leur unité de recherche de rattachement.</w:t>
      </w:r>
    </w:p>
    <w:p w14:paraId="7D2F8F8A" w14:textId="6CA2A182" w:rsidR="0053185C" w:rsidRDefault="00510147" w:rsidP="0053185C">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C5</w:t>
      </w:r>
      <w:r w:rsidR="0053185C" w:rsidRPr="0053185C">
        <w:rPr>
          <w:rFonts w:ascii="Century Gothic" w:hAnsi="Century Gothic"/>
          <w:lang w:eastAsia="en-US"/>
        </w:rPr>
        <w:t xml:space="preserve">. La formation doctorale s’appuie sur les services de documentation notamment en </w:t>
      </w:r>
      <w:r w:rsidR="00006668">
        <w:rPr>
          <w:rFonts w:ascii="Century Gothic" w:hAnsi="Century Gothic"/>
          <w:lang w:eastAsia="en-US"/>
        </w:rPr>
        <w:t>matière</w:t>
      </w:r>
      <w:r w:rsidR="0053185C" w:rsidRPr="0053185C">
        <w:rPr>
          <w:rFonts w:ascii="Century Gothic" w:hAnsi="Century Gothic"/>
          <w:lang w:eastAsia="en-US"/>
        </w:rPr>
        <w:t xml:space="preserve"> d’accès aux ressources documentaires et de contribution aux contenus de formation.</w:t>
      </w:r>
    </w:p>
    <w:p w14:paraId="12977D4B" w14:textId="1132DA83" w:rsidR="00B34C3D" w:rsidRPr="0053185C" w:rsidRDefault="00510147" w:rsidP="0053185C">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C6</w:t>
      </w:r>
      <w:r w:rsidR="0053185C" w:rsidRPr="0053185C">
        <w:rPr>
          <w:rFonts w:ascii="Century Gothic" w:hAnsi="Century Gothic"/>
          <w:lang w:eastAsia="en-US"/>
        </w:rPr>
        <w:t xml:space="preserve">. La formation doctorale s’inscrit dans une perspective de science ouverte dans le cadre de laquelle les modalités de dépôt des thèses et des travaux des doctorants et </w:t>
      </w:r>
      <w:r w:rsidR="00006668">
        <w:rPr>
          <w:rFonts w:ascii="Century Gothic" w:hAnsi="Century Gothic"/>
          <w:lang w:eastAsia="en-US"/>
        </w:rPr>
        <w:t xml:space="preserve">des </w:t>
      </w:r>
      <w:r w:rsidR="0053185C" w:rsidRPr="0053185C">
        <w:rPr>
          <w:rFonts w:ascii="Century Gothic" w:hAnsi="Century Gothic"/>
          <w:lang w:eastAsia="en-US"/>
        </w:rPr>
        <w:t>docteurs sont suivies et accompagnées.</w:t>
      </w:r>
    </w:p>
    <w:p w14:paraId="58AE6808" w14:textId="77777777" w:rsidR="00B34C3D" w:rsidRPr="0018325C" w:rsidRDefault="00B34C3D" w:rsidP="00926CC8">
      <w:pPr>
        <w:pStyle w:val="4-TextePAO"/>
        <w:spacing w:before="0"/>
        <w:rPr>
          <w:rFonts w:ascii="Verdana" w:hAnsi="Verdana"/>
          <w:noProof w:val="0"/>
          <w:sz w:val="16"/>
          <w:szCs w:val="16"/>
        </w:rPr>
      </w:pPr>
    </w:p>
    <w:p w14:paraId="1844FCA4" w14:textId="77777777" w:rsidR="00926CC8" w:rsidRDefault="00FF230F" w:rsidP="00926CC8">
      <w:pPr>
        <w:pStyle w:val="2-TITRE2"/>
        <w:rPr>
          <w:w w:val="105"/>
        </w:rPr>
      </w:pPr>
      <w:r w:rsidRPr="00FF230F">
        <w:rPr>
          <w:w w:val="105"/>
        </w:rPr>
        <w:t>Référence 4</w:t>
      </w:r>
      <w:r w:rsidR="003C3531">
        <w:rPr>
          <w:w w:val="105"/>
        </w:rPr>
        <w:t> :</w:t>
      </w:r>
      <w:r w:rsidRPr="00FF230F">
        <w:rPr>
          <w:w w:val="105"/>
        </w:rPr>
        <w:t xml:space="preserve"> La formation doctorale s’appuie sur une politique de professionnalisation dans une perspective de valorisation du doctorat.</w:t>
      </w:r>
    </w:p>
    <w:p w14:paraId="3E9292B9" w14:textId="367B787F" w:rsidR="00541C8E" w:rsidRPr="00DC14E9" w:rsidRDefault="00541C8E" w:rsidP="00926CC8">
      <w:pPr>
        <w:pStyle w:val="2-TITRE2"/>
        <w:rPr>
          <w:rFonts w:ascii="Verdana" w:hAnsi="Verdana"/>
          <w:b w:val="0"/>
          <w:bCs/>
          <w:color w:val="auto"/>
          <w:w w:val="105"/>
          <w:sz w:val="16"/>
          <w:szCs w:val="16"/>
        </w:rPr>
      </w:pPr>
    </w:p>
    <w:p w14:paraId="22944D04" w14:textId="77777777" w:rsidR="00DC14E9" w:rsidRPr="00DC14E9" w:rsidRDefault="00DC14E9" w:rsidP="00DC14E9">
      <w:pPr>
        <w:pStyle w:val="5-POINTSFORTSETFAIBLES"/>
        <w:numPr>
          <w:ilvl w:val="0"/>
          <w:numId w:val="40"/>
        </w:numPr>
        <w:spacing w:before="120"/>
        <w:ind w:left="851" w:hanging="284"/>
        <w:rPr>
          <w:rFonts w:ascii="Century Gothic" w:hAnsi="Century Gothic"/>
          <w:lang w:eastAsia="en-US"/>
        </w:rPr>
      </w:pPr>
      <w:r w:rsidRPr="00DC14E9">
        <w:rPr>
          <w:rFonts w:ascii="Century Gothic" w:hAnsi="Century Gothic"/>
          <w:lang w:eastAsia="en-US"/>
        </w:rPr>
        <w:t xml:space="preserve">C1. La formation doctorale prend en compte les besoins sociaux, économiques et culturels du territoire pour définir ses objectifs et diversifier ses débouchés dans les différents secteurs, dont le secteur académique.  </w:t>
      </w:r>
    </w:p>
    <w:p w14:paraId="648244DC" w14:textId="2E5B548B" w:rsidR="00DC14E9" w:rsidRPr="00DC14E9" w:rsidRDefault="00DC14E9" w:rsidP="00DC14E9">
      <w:pPr>
        <w:pStyle w:val="5-POINTSFORTSETFAIBLES"/>
        <w:numPr>
          <w:ilvl w:val="0"/>
          <w:numId w:val="40"/>
        </w:numPr>
        <w:spacing w:before="120"/>
        <w:ind w:left="851" w:hanging="284"/>
        <w:rPr>
          <w:rFonts w:ascii="Century Gothic" w:hAnsi="Century Gothic"/>
          <w:lang w:eastAsia="en-US"/>
        </w:rPr>
      </w:pPr>
      <w:r w:rsidRPr="00DC14E9">
        <w:rPr>
          <w:rFonts w:ascii="Century Gothic" w:hAnsi="Century Gothic"/>
          <w:lang w:eastAsia="en-US"/>
        </w:rPr>
        <w:t>C2. L’école doctorale associe les partenaires sociaux, économiques et culturels à la construction de la formation doctorale et valorise auprès d’eux les compétences acquises au sein de cette formation.</w:t>
      </w:r>
    </w:p>
    <w:p w14:paraId="3BEBBAB8" w14:textId="77777777" w:rsidR="00DC14E9" w:rsidRPr="00DC14E9" w:rsidRDefault="00541C8E" w:rsidP="00DC14E9">
      <w:pPr>
        <w:pStyle w:val="5-POINTSFORTSETFAIBLES"/>
        <w:numPr>
          <w:ilvl w:val="0"/>
          <w:numId w:val="40"/>
        </w:numPr>
        <w:spacing w:before="120"/>
        <w:ind w:left="851" w:hanging="284"/>
        <w:rPr>
          <w:rFonts w:ascii="Century Gothic" w:hAnsi="Century Gothic"/>
          <w:lang w:eastAsia="en-US"/>
        </w:rPr>
      </w:pPr>
      <w:r w:rsidRPr="00DC14E9">
        <w:rPr>
          <w:rFonts w:ascii="Century Gothic" w:hAnsi="Century Gothic"/>
          <w:lang w:eastAsia="en-US"/>
        </w:rPr>
        <w:t>C</w:t>
      </w:r>
      <w:r w:rsidR="003F49C0" w:rsidRPr="00DC14E9">
        <w:rPr>
          <w:rFonts w:ascii="Century Gothic" w:hAnsi="Century Gothic"/>
          <w:lang w:eastAsia="en-US"/>
        </w:rPr>
        <w:t>3</w:t>
      </w:r>
      <w:r w:rsidRPr="00DC14E9">
        <w:rPr>
          <w:rFonts w:ascii="Century Gothic" w:hAnsi="Century Gothic"/>
          <w:lang w:eastAsia="en-US"/>
        </w:rPr>
        <w:t xml:space="preserve">. La formation doctorale contribue à la préparation de la poursuite de carrière des doctorants dans </w:t>
      </w:r>
      <w:r w:rsidR="005A6A6A" w:rsidRPr="00DC14E9">
        <w:rPr>
          <w:rFonts w:ascii="Century Gothic" w:hAnsi="Century Gothic"/>
          <w:lang w:eastAsia="en-US"/>
        </w:rPr>
        <w:t>une diversité d’emplois</w:t>
      </w:r>
      <w:r w:rsidRPr="00DC14E9">
        <w:rPr>
          <w:rFonts w:ascii="Century Gothic" w:hAnsi="Century Gothic"/>
          <w:lang w:eastAsia="en-US"/>
        </w:rPr>
        <w:t xml:space="preserve"> exigeant le grade de Docteur, y compris par la formation à l’entrepreneuriat.</w:t>
      </w:r>
    </w:p>
    <w:p w14:paraId="2D6AB34C" w14:textId="7E221871" w:rsidR="00DC14E9" w:rsidRPr="00DC14E9" w:rsidRDefault="00DC14E9" w:rsidP="00DC14E9">
      <w:pPr>
        <w:pStyle w:val="5-POINTSFORTSETFAIBLES"/>
        <w:numPr>
          <w:ilvl w:val="0"/>
          <w:numId w:val="40"/>
        </w:numPr>
        <w:spacing w:before="120"/>
        <w:ind w:left="851" w:hanging="284"/>
        <w:rPr>
          <w:rFonts w:ascii="Century Gothic" w:hAnsi="Century Gothic"/>
          <w:lang w:eastAsia="en-US"/>
        </w:rPr>
      </w:pPr>
      <w:r w:rsidRPr="00DC14E9">
        <w:rPr>
          <w:rFonts w:ascii="Century Gothic" w:hAnsi="Century Gothic"/>
          <w:lang w:eastAsia="en-US"/>
        </w:rPr>
        <w:t>C4. L’école doctorale contribue au bon déroulement de l’expérience professionnelle des doctorants notamment en privilégiant ou en rendant obligatoire, pour l’inscription en doctorat, l’obtention d’un financement et en s’adaptant à la diversité des publics accueillis.</w:t>
      </w:r>
    </w:p>
    <w:p w14:paraId="79B2CC67" w14:textId="6035942B" w:rsidR="00B34C3D" w:rsidRPr="00DC14E9" w:rsidRDefault="00541C8E" w:rsidP="00541C8E">
      <w:pPr>
        <w:pStyle w:val="5-POINTSFORTSETFAIBLES"/>
        <w:numPr>
          <w:ilvl w:val="0"/>
          <w:numId w:val="40"/>
        </w:numPr>
        <w:spacing w:before="120"/>
        <w:ind w:left="851" w:hanging="284"/>
        <w:rPr>
          <w:rFonts w:ascii="Century Gothic" w:hAnsi="Century Gothic"/>
          <w:lang w:eastAsia="en-US"/>
        </w:rPr>
      </w:pPr>
      <w:r w:rsidRPr="00DC14E9">
        <w:rPr>
          <w:rFonts w:ascii="Century Gothic" w:hAnsi="Century Gothic"/>
          <w:lang w:eastAsia="en-US"/>
        </w:rPr>
        <w:t>C</w:t>
      </w:r>
      <w:r w:rsidR="003F49C0" w:rsidRPr="00DC14E9">
        <w:rPr>
          <w:rFonts w:ascii="Century Gothic" w:hAnsi="Century Gothic"/>
          <w:lang w:eastAsia="en-US"/>
        </w:rPr>
        <w:t>5</w:t>
      </w:r>
      <w:r w:rsidRPr="00DC14E9">
        <w:rPr>
          <w:rFonts w:ascii="Century Gothic" w:hAnsi="Century Gothic"/>
          <w:lang w:eastAsia="en-US"/>
        </w:rPr>
        <w:t>. Les missions comp</w:t>
      </w:r>
      <w:r w:rsidR="007A2B40" w:rsidRPr="00DC14E9">
        <w:rPr>
          <w:rFonts w:ascii="Century Gothic" w:hAnsi="Century Gothic"/>
          <w:lang w:eastAsia="en-US"/>
        </w:rPr>
        <w:t>lémentaires du contrat doctoral</w:t>
      </w:r>
      <w:r w:rsidRPr="00DC14E9">
        <w:rPr>
          <w:rFonts w:ascii="Century Gothic" w:hAnsi="Century Gothic"/>
          <w:lang w:eastAsia="en-US"/>
        </w:rPr>
        <w:t xml:space="preserve"> participent à la préparation de la poursuite de carrière des doctorants.</w:t>
      </w:r>
    </w:p>
    <w:p w14:paraId="2303428F" w14:textId="77777777" w:rsidR="00FF230F" w:rsidRPr="00DC14E9" w:rsidRDefault="00FF230F" w:rsidP="002830DD">
      <w:pPr>
        <w:pStyle w:val="4-TextePAO"/>
        <w:ind w:firstLine="0"/>
        <w:rPr>
          <w:rFonts w:ascii="Verdana" w:hAnsi="Verdana"/>
          <w:noProof w:val="0"/>
          <w:sz w:val="16"/>
          <w:szCs w:val="16"/>
        </w:rPr>
      </w:pPr>
    </w:p>
    <w:p w14:paraId="4F1D2BFC" w14:textId="3935509F" w:rsidR="00FF230F" w:rsidRPr="002830DD" w:rsidRDefault="00FF230F" w:rsidP="00FF230F">
      <w:pPr>
        <w:pStyle w:val="2-TITRE2"/>
        <w:rPr>
          <w:bCs/>
          <w:szCs w:val="22"/>
        </w:rPr>
      </w:pPr>
      <w:bookmarkStart w:id="1" w:name="_Toc76030306"/>
      <w:r w:rsidRPr="002830DD">
        <w:rPr>
          <w:bCs/>
          <w:szCs w:val="22"/>
        </w:rPr>
        <w:t>Référence 5 : La formation doctorale est ouverte à l’international</w:t>
      </w:r>
      <w:bookmarkEnd w:id="1"/>
      <w:r w:rsidRPr="002830DD">
        <w:rPr>
          <w:bCs/>
          <w:szCs w:val="22"/>
        </w:rPr>
        <w:t>.</w:t>
      </w:r>
    </w:p>
    <w:p w14:paraId="4D62C432" w14:textId="7AA75DDE" w:rsidR="00352008" w:rsidRPr="00DC14E9" w:rsidRDefault="00352008" w:rsidP="00DC14E9">
      <w:pPr>
        <w:ind w:left="0"/>
        <w:rPr>
          <w:rFonts w:ascii="Verdana" w:hAnsi="Verdana"/>
          <w:sz w:val="16"/>
          <w:szCs w:val="16"/>
        </w:rPr>
      </w:pPr>
    </w:p>
    <w:p w14:paraId="31B457B4" w14:textId="77777777" w:rsidR="00DC14E9" w:rsidRPr="00DC14E9" w:rsidRDefault="00DC14E9" w:rsidP="00DC14E9">
      <w:pPr>
        <w:pStyle w:val="5-POINTSFORTSETFAIBLES"/>
        <w:numPr>
          <w:ilvl w:val="0"/>
          <w:numId w:val="40"/>
        </w:numPr>
        <w:spacing w:before="120"/>
        <w:ind w:left="319" w:hanging="284"/>
        <w:rPr>
          <w:rFonts w:ascii="Century Gothic" w:hAnsi="Century Gothic"/>
          <w:lang w:eastAsia="en-US"/>
        </w:rPr>
      </w:pPr>
      <w:r w:rsidRPr="00DC14E9">
        <w:rPr>
          <w:rFonts w:ascii="Century Gothic" w:hAnsi="Century Gothic"/>
          <w:lang w:eastAsia="en-US"/>
        </w:rPr>
        <w:t>C1. La formation doctorale s’appuie sur des partenariats internationaux effectifs conclus pour son bénéfice, en cohérence avec les priorités définies par l’établissement.</w:t>
      </w:r>
    </w:p>
    <w:p w14:paraId="6FB47A0D" w14:textId="77777777" w:rsidR="00DC14E9" w:rsidRPr="00DC14E9" w:rsidRDefault="00DC14E9" w:rsidP="00DC14E9">
      <w:pPr>
        <w:pStyle w:val="5-POINTSFORTSETFAIBLES"/>
        <w:numPr>
          <w:ilvl w:val="0"/>
          <w:numId w:val="40"/>
        </w:numPr>
        <w:spacing w:before="120"/>
        <w:ind w:left="319" w:hanging="284"/>
        <w:rPr>
          <w:rFonts w:ascii="Century Gothic" w:hAnsi="Century Gothic"/>
          <w:lang w:eastAsia="en-US"/>
        </w:rPr>
      </w:pPr>
      <w:r w:rsidRPr="00DC14E9">
        <w:rPr>
          <w:rFonts w:ascii="Century Gothic" w:hAnsi="Century Gothic"/>
          <w:lang w:eastAsia="en-US"/>
        </w:rPr>
        <w:t>C2. La formation doctorale intègre des co-tutelles de thèse et des mobilités sortantes des doctorants, en s’appuyant sur les partenariats structurants conclus par les différents acteurs de son périmètre et sur des dispositifs de soutien financier.</w:t>
      </w:r>
    </w:p>
    <w:p w14:paraId="01C90A1C" w14:textId="350A859C" w:rsidR="00DC14E9" w:rsidRPr="00DC14E9" w:rsidRDefault="00DC14E9" w:rsidP="00DC14E9">
      <w:pPr>
        <w:pStyle w:val="5-POINTSFORTSETFAIBLES"/>
        <w:numPr>
          <w:ilvl w:val="0"/>
          <w:numId w:val="40"/>
        </w:numPr>
        <w:spacing w:before="120"/>
        <w:ind w:left="319" w:hanging="284"/>
        <w:rPr>
          <w:rFonts w:ascii="Century Gothic" w:hAnsi="Century Gothic"/>
          <w:lang w:eastAsia="en-US"/>
        </w:rPr>
      </w:pPr>
      <w:r w:rsidRPr="00DC14E9">
        <w:rPr>
          <w:rFonts w:ascii="Century Gothic" w:hAnsi="Century Gothic"/>
          <w:lang w:eastAsia="en-US"/>
        </w:rPr>
        <w:t>C3. L’internationalisation de la formation doctorale bénéficie des moyens et de l’apport des projets du PIA ainsi que, le cas échéant, d’une alliance européenne.</w:t>
      </w:r>
    </w:p>
    <w:p w14:paraId="5CE67EEC" w14:textId="5C87B599" w:rsidR="00DC14E9" w:rsidRDefault="00DC14E9" w:rsidP="00DC14E9">
      <w:pPr>
        <w:ind w:left="0"/>
        <w:rPr>
          <w:rFonts w:ascii="Verdana" w:hAnsi="Verdana"/>
          <w:sz w:val="16"/>
          <w:szCs w:val="16"/>
        </w:rPr>
      </w:pPr>
    </w:p>
    <w:p w14:paraId="5D4E9C5A" w14:textId="77777777" w:rsidR="0018325C" w:rsidRPr="0018325C" w:rsidRDefault="0018325C" w:rsidP="00DC14E9">
      <w:pPr>
        <w:ind w:left="0"/>
        <w:rPr>
          <w:rFonts w:ascii="Verdana" w:hAnsi="Verdana"/>
          <w:sz w:val="16"/>
          <w:szCs w:val="16"/>
        </w:rPr>
      </w:pPr>
    </w:p>
    <w:p w14:paraId="2815505B" w14:textId="3F2A882A" w:rsidR="00C34C6A" w:rsidRDefault="00FF230F" w:rsidP="00514F29">
      <w:pPr>
        <w:pStyle w:val="1-TITRE1"/>
        <w:rPr>
          <w:noProof w:val="0"/>
        </w:rPr>
      </w:pPr>
      <w:r>
        <w:rPr>
          <w:noProof w:val="0"/>
        </w:rPr>
        <w:t>DOMAINE 2 :</w:t>
      </w:r>
      <w:r w:rsidRPr="00FF230F">
        <w:rPr>
          <w:noProof w:val="0"/>
        </w:rPr>
        <w:t xml:space="preserve"> LES DISPOSITIFS DE FORMATION, D’ACCUEIL ET D’ENCADREMENT DES DOCTORANTS</w:t>
      </w:r>
    </w:p>
    <w:p w14:paraId="3DAC61B0" w14:textId="439C369C" w:rsidR="00B34C3D" w:rsidRPr="00090D3E" w:rsidRDefault="00FF230F" w:rsidP="00267E48">
      <w:pPr>
        <w:pStyle w:val="2-TITRE2"/>
        <w:rPr>
          <w:w w:val="105"/>
        </w:rPr>
      </w:pPr>
      <w:r w:rsidRPr="00FF230F">
        <w:rPr>
          <w:w w:val="105"/>
        </w:rPr>
        <w:t>Référence 6</w:t>
      </w:r>
      <w:r w:rsidR="003C3531">
        <w:rPr>
          <w:w w:val="105"/>
        </w:rPr>
        <w:t> :</w:t>
      </w:r>
      <w:r w:rsidRPr="00FF230F">
        <w:rPr>
          <w:w w:val="105"/>
        </w:rPr>
        <w:t xml:space="preserve"> La formation doctorale </w:t>
      </w:r>
      <w:r w:rsidR="00266096">
        <w:rPr>
          <w:w w:val="105"/>
        </w:rPr>
        <w:t xml:space="preserve">définit </w:t>
      </w:r>
      <w:r w:rsidR="00267E48">
        <w:rPr>
          <w:w w:val="105"/>
        </w:rPr>
        <w:t xml:space="preserve">les compétences visées </w:t>
      </w:r>
      <w:r w:rsidR="00266096">
        <w:rPr>
          <w:w w:val="105"/>
        </w:rPr>
        <w:t xml:space="preserve">et </w:t>
      </w:r>
      <w:r w:rsidRPr="00FF230F">
        <w:rPr>
          <w:w w:val="105"/>
        </w:rPr>
        <w:t xml:space="preserve">met </w:t>
      </w:r>
      <w:r w:rsidR="00266096">
        <w:rPr>
          <w:w w:val="105"/>
        </w:rPr>
        <w:t xml:space="preserve">en œuvre les contenus </w:t>
      </w:r>
      <w:r w:rsidRPr="00FF230F">
        <w:rPr>
          <w:w w:val="105"/>
        </w:rPr>
        <w:t>et les méthodes de formation adaptés pour développer et valoriser les compétences des doctorants.</w:t>
      </w:r>
    </w:p>
    <w:p w14:paraId="250E2A05" w14:textId="0DAB56D0" w:rsidR="00A76B2D" w:rsidRDefault="00A76B2D" w:rsidP="00A76B2D">
      <w:pPr>
        <w:pStyle w:val="5-POINTSFORTSETFAIBLES"/>
        <w:numPr>
          <w:ilvl w:val="0"/>
          <w:numId w:val="40"/>
        </w:numPr>
        <w:spacing w:before="120"/>
        <w:ind w:left="851" w:hanging="284"/>
        <w:rPr>
          <w:rFonts w:ascii="Century Gothic" w:hAnsi="Century Gothic"/>
          <w:lang w:eastAsia="en-US"/>
        </w:rPr>
      </w:pPr>
      <w:r w:rsidRPr="00A76B2D">
        <w:rPr>
          <w:rFonts w:ascii="Century Gothic" w:hAnsi="Century Gothic"/>
          <w:lang w:eastAsia="en-US"/>
        </w:rPr>
        <w:t>C1. La formation doctorale définit et met en œuvre les objectifs, les contenus et les méthodes de formation</w:t>
      </w:r>
      <w:r w:rsidR="00A36AEA">
        <w:rPr>
          <w:rFonts w:ascii="Century Gothic" w:hAnsi="Century Gothic"/>
          <w:lang w:eastAsia="en-US"/>
        </w:rPr>
        <w:t>,</w:t>
      </w:r>
      <w:r w:rsidRPr="00A76B2D">
        <w:rPr>
          <w:rFonts w:ascii="Century Gothic" w:hAnsi="Century Gothic"/>
          <w:lang w:eastAsia="en-US"/>
        </w:rPr>
        <w:t xml:space="preserve"> ainsi que les modalités de validation des compétences acquises par les doctorants dans le cadre d’une approche par compétences.</w:t>
      </w:r>
    </w:p>
    <w:p w14:paraId="72B6E670" w14:textId="51773771" w:rsidR="00A76B2D" w:rsidRDefault="00A76B2D" w:rsidP="00A76B2D">
      <w:pPr>
        <w:pStyle w:val="5-POINTSFORTSETFAIBLES"/>
        <w:numPr>
          <w:ilvl w:val="0"/>
          <w:numId w:val="40"/>
        </w:numPr>
        <w:spacing w:before="120"/>
        <w:ind w:left="851" w:hanging="284"/>
        <w:rPr>
          <w:rFonts w:ascii="Century Gothic" w:hAnsi="Century Gothic"/>
          <w:lang w:eastAsia="en-US"/>
        </w:rPr>
      </w:pPr>
      <w:r w:rsidRPr="00A76B2D">
        <w:rPr>
          <w:rFonts w:ascii="Century Gothic" w:hAnsi="Century Gothic"/>
          <w:lang w:eastAsia="en-US"/>
        </w:rPr>
        <w:t>C2. La formation doctorale est con</w:t>
      </w:r>
      <w:r w:rsidR="00B76684">
        <w:rPr>
          <w:rFonts w:ascii="Century Gothic" w:hAnsi="Century Gothic"/>
          <w:lang w:eastAsia="en-US"/>
        </w:rPr>
        <w:t xml:space="preserve">struite en cohérence avec </w:t>
      </w:r>
      <w:r w:rsidRPr="00A76B2D">
        <w:rPr>
          <w:rFonts w:ascii="Century Gothic" w:hAnsi="Century Gothic"/>
          <w:lang w:eastAsia="en-US"/>
        </w:rPr>
        <w:t>le</w:t>
      </w:r>
      <w:r w:rsidR="00B76684">
        <w:rPr>
          <w:rFonts w:ascii="Century Gothic" w:hAnsi="Century Gothic"/>
          <w:lang w:eastAsia="en-US"/>
        </w:rPr>
        <w:t>s</w:t>
      </w:r>
      <w:r w:rsidRPr="00A76B2D">
        <w:rPr>
          <w:rFonts w:ascii="Century Gothic" w:hAnsi="Century Gothic"/>
          <w:lang w:eastAsia="en-US"/>
        </w:rPr>
        <w:t xml:space="preserve"> segment</w:t>
      </w:r>
      <w:r w:rsidR="00B76684">
        <w:rPr>
          <w:rFonts w:ascii="Century Gothic" w:hAnsi="Century Gothic"/>
          <w:lang w:eastAsia="en-US"/>
        </w:rPr>
        <w:t>s</w:t>
      </w:r>
      <w:r w:rsidRPr="00A76B2D">
        <w:rPr>
          <w:rFonts w:ascii="Century Gothic" w:hAnsi="Century Gothic"/>
          <w:lang w:eastAsia="en-US"/>
        </w:rPr>
        <w:t xml:space="preserve"> professionn</w:t>
      </w:r>
      <w:r w:rsidR="00B76684">
        <w:rPr>
          <w:rFonts w:ascii="Century Gothic" w:hAnsi="Century Gothic"/>
          <w:lang w:eastAsia="en-US"/>
        </w:rPr>
        <w:t>els visés par les fiches</w:t>
      </w:r>
      <w:r w:rsidRPr="00A76B2D">
        <w:rPr>
          <w:rFonts w:ascii="Century Gothic" w:hAnsi="Century Gothic"/>
          <w:lang w:eastAsia="en-US"/>
        </w:rPr>
        <w:t xml:space="preserve"> RNCP correspondant à son périmètre, dans une démarche de reconnaissance et d’usage du d</w:t>
      </w:r>
      <w:r w:rsidR="007D7E2E">
        <w:rPr>
          <w:rFonts w:ascii="Century Gothic" w:hAnsi="Century Gothic"/>
          <w:lang w:eastAsia="en-US"/>
        </w:rPr>
        <w:t>octora</w:t>
      </w:r>
      <w:r w:rsidRPr="00A76B2D">
        <w:rPr>
          <w:rFonts w:ascii="Century Gothic" w:hAnsi="Century Gothic"/>
          <w:lang w:eastAsia="en-US"/>
        </w:rPr>
        <w:t>t en tant que certification professionnelle.</w:t>
      </w:r>
    </w:p>
    <w:p w14:paraId="6596BB92" w14:textId="4B2158BD" w:rsidR="00DC14E9" w:rsidRPr="00DC14E9" w:rsidRDefault="00DC14E9" w:rsidP="00A76B2D">
      <w:pPr>
        <w:pStyle w:val="5-POINTSFORTSETFAIBLES"/>
        <w:numPr>
          <w:ilvl w:val="0"/>
          <w:numId w:val="40"/>
        </w:numPr>
        <w:spacing w:before="120"/>
        <w:ind w:left="851" w:hanging="284"/>
        <w:rPr>
          <w:rFonts w:ascii="Century Gothic" w:hAnsi="Century Gothic"/>
          <w:lang w:eastAsia="en-US"/>
        </w:rPr>
      </w:pPr>
      <w:r w:rsidRPr="00DC14E9">
        <w:rPr>
          <w:rFonts w:ascii="Century Gothic" w:hAnsi="Century Gothic"/>
          <w:lang w:eastAsia="en-US"/>
        </w:rPr>
        <w:lastRenderedPageBreak/>
        <w:t>C3. La formation doctorale valorise les compétences acquises par les doctorants dans le parcours de formation, en particulier à travers leurs travaux de recherche. Elle s’appuie notamment à cette fin sur la constitution de portfolios des doctorants.</w:t>
      </w:r>
    </w:p>
    <w:p w14:paraId="2C889994" w14:textId="77777777" w:rsidR="00A10035" w:rsidRPr="00DC14E9" w:rsidRDefault="00A10035" w:rsidP="00B34C3D">
      <w:pPr>
        <w:pStyle w:val="2-TITRE2"/>
        <w:rPr>
          <w:rFonts w:ascii="Verdana" w:hAnsi="Verdana"/>
          <w:b w:val="0"/>
          <w:bCs/>
          <w:color w:val="auto"/>
          <w:w w:val="105"/>
          <w:sz w:val="16"/>
          <w:szCs w:val="16"/>
        </w:rPr>
      </w:pPr>
    </w:p>
    <w:p w14:paraId="2D2EFDCE" w14:textId="3B707885" w:rsidR="00DC14E9" w:rsidRDefault="00DC14E9" w:rsidP="00DC14E9">
      <w:pPr>
        <w:pStyle w:val="2-TITRE2"/>
        <w:rPr>
          <w:color w:val="7030A0"/>
          <w:w w:val="105"/>
        </w:rPr>
      </w:pPr>
      <w:r w:rsidRPr="005C1BCA">
        <w:rPr>
          <w:color w:val="7030A0"/>
          <w:w w:val="105"/>
        </w:rPr>
        <w:t>Référence 7</w:t>
      </w:r>
      <w:r>
        <w:rPr>
          <w:color w:val="7030A0"/>
          <w:w w:val="105"/>
        </w:rPr>
        <w:t> :</w:t>
      </w:r>
      <w:r w:rsidRPr="005C1BCA">
        <w:rPr>
          <w:color w:val="7030A0"/>
          <w:w w:val="105"/>
        </w:rPr>
        <w:t xml:space="preserve"> Les doctorants et les candidats à l’habilitation à diriger des recherches </w:t>
      </w:r>
      <w:r w:rsidRPr="00DC14E9">
        <w:rPr>
          <w:color w:val="7030A0"/>
          <w:w w:val="105"/>
        </w:rPr>
        <w:t xml:space="preserve">(HDR) bénéficient de conditions d’admission et d’accueil communes et de qualité. </w:t>
      </w:r>
    </w:p>
    <w:p w14:paraId="64CC66BF" w14:textId="77777777" w:rsidR="00DC14E9" w:rsidRPr="0018325C" w:rsidRDefault="00DC14E9" w:rsidP="00DC14E9">
      <w:pPr>
        <w:rPr>
          <w:rFonts w:ascii="Verdana" w:hAnsi="Verdana"/>
          <w:sz w:val="16"/>
          <w:szCs w:val="16"/>
        </w:rPr>
      </w:pPr>
    </w:p>
    <w:p w14:paraId="7ECB942F" w14:textId="77777777" w:rsidR="00DC14E9" w:rsidRPr="00E32837" w:rsidRDefault="00DC14E9" w:rsidP="00E32837">
      <w:pPr>
        <w:pStyle w:val="5-POINTSFORTSETFAIBLES"/>
        <w:numPr>
          <w:ilvl w:val="0"/>
          <w:numId w:val="40"/>
        </w:numPr>
        <w:spacing w:before="120"/>
        <w:ind w:left="851" w:hanging="284"/>
        <w:rPr>
          <w:rFonts w:ascii="Century Gothic" w:hAnsi="Century Gothic"/>
          <w:lang w:eastAsia="en-US"/>
        </w:rPr>
      </w:pPr>
      <w:r w:rsidRPr="00E32837">
        <w:rPr>
          <w:rFonts w:ascii="Century Gothic" w:hAnsi="Century Gothic"/>
          <w:lang w:eastAsia="en-US"/>
        </w:rPr>
        <w:t>C1. Les règles de recrutement des doctorants sont définies à l’échelle de l’école doctorale en associant les unités de recherche qui lui sont rattachées et ses partenaires. Elles incluent notamment la politique de financement et les modalités de recrutement et d’admission des doctorants.</w:t>
      </w:r>
    </w:p>
    <w:p w14:paraId="58F86F9B" w14:textId="572D0D7E" w:rsidR="00DC14E9" w:rsidRPr="00E32837" w:rsidRDefault="00DC14E9" w:rsidP="00BE7F87">
      <w:pPr>
        <w:pStyle w:val="5-POINTSFORTSETFAIBLES"/>
        <w:numPr>
          <w:ilvl w:val="0"/>
          <w:numId w:val="40"/>
        </w:numPr>
        <w:spacing w:before="120"/>
        <w:ind w:left="851" w:hanging="284"/>
        <w:rPr>
          <w:rFonts w:ascii="Century Gothic" w:hAnsi="Century Gothic"/>
          <w:lang w:eastAsia="en-US"/>
        </w:rPr>
      </w:pPr>
      <w:r w:rsidRPr="00E32837">
        <w:rPr>
          <w:rFonts w:ascii="Century Gothic" w:hAnsi="Century Gothic"/>
          <w:lang w:eastAsia="en-US"/>
        </w:rPr>
        <w:t xml:space="preserve">C2. Les règles d’admission et d’inscription des candidats à l’habilitation à diriger des recherches (HDR) sont définies à </w:t>
      </w:r>
      <w:r w:rsidR="00BE7F87">
        <w:rPr>
          <w:rFonts w:ascii="Century Gothic" w:hAnsi="Century Gothic"/>
          <w:lang w:eastAsia="en-US"/>
        </w:rPr>
        <w:t xml:space="preserve">l’échelle de l’école doctorale, </w:t>
      </w:r>
      <w:r w:rsidRPr="00E32837">
        <w:rPr>
          <w:rFonts w:ascii="Century Gothic" w:hAnsi="Century Gothic"/>
          <w:lang w:eastAsia="en-US"/>
        </w:rPr>
        <w:t>en associant les unités de recherche qui lui sont rattachées, ou à l’échelle de l’établissement en associant celle-ci.</w:t>
      </w:r>
    </w:p>
    <w:p w14:paraId="2AF4CBDB" w14:textId="77777777" w:rsidR="00E32837" w:rsidRDefault="00DC14E9" w:rsidP="00E32837">
      <w:pPr>
        <w:pStyle w:val="5-POINTSFORTSETFAIBLES"/>
        <w:numPr>
          <w:ilvl w:val="0"/>
          <w:numId w:val="40"/>
        </w:numPr>
        <w:spacing w:before="120"/>
        <w:ind w:left="851" w:hanging="284"/>
        <w:rPr>
          <w:rFonts w:ascii="Century Gothic" w:hAnsi="Century Gothic"/>
          <w:lang w:eastAsia="en-US"/>
        </w:rPr>
      </w:pPr>
      <w:r w:rsidRPr="00E32837">
        <w:rPr>
          <w:rFonts w:ascii="Century Gothic" w:hAnsi="Century Gothic"/>
          <w:lang w:eastAsia="en-US"/>
        </w:rPr>
        <w:t>C3. Les modalités d’accueil des doctorants au sein de l’école doctorale et dans les unités de recherche qui lui sont rattachées sont définies collégialement entre celles-ci. Elles tiennent compte de la diversité des publics accueillis.</w:t>
      </w:r>
    </w:p>
    <w:p w14:paraId="5789037F" w14:textId="73E4C8B5" w:rsidR="00B34C3D" w:rsidRPr="00E32837" w:rsidRDefault="00E205C6" w:rsidP="00E32837">
      <w:pPr>
        <w:pStyle w:val="5-POINTSFORTSETFAIBLES"/>
        <w:numPr>
          <w:ilvl w:val="0"/>
          <w:numId w:val="40"/>
        </w:numPr>
        <w:spacing w:before="120"/>
        <w:ind w:left="851" w:hanging="284"/>
        <w:rPr>
          <w:rFonts w:ascii="Century Gothic" w:hAnsi="Century Gothic"/>
          <w:lang w:eastAsia="en-US"/>
        </w:rPr>
      </w:pPr>
      <w:r w:rsidRPr="00E32837">
        <w:rPr>
          <w:rFonts w:ascii="Century Gothic" w:hAnsi="Century Gothic"/>
          <w:lang w:eastAsia="en-US"/>
        </w:rPr>
        <w:t xml:space="preserve">C4. Les doctorants bénéficient de ressources numériques et d’espaces physiques au sein de l’école doctorale, de l’unité de recherche ou de l’établissement pour mener à bien leurs travaux individuels et collectifs. </w:t>
      </w:r>
    </w:p>
    <w:p w14:paraId="1FB17D62" w14:textId="77777777" w:rsidR="00E205C6" w:rsidRPr="0018325C" w:rsidRDefault="00E205C6" w:rsidP="00E205C6">
      <w:pPr>
        <w:pStyle w:val="5-POINTSFORTSETFAIBLES"/>
        <w:spacing w:before="120"/>
        <w:ind w:left="851"/>
        <w:rPr>
          <w:rFonts w:ascii="Verdana" w:hAnsi="Verdana"/>
          <w:sz w:val="16"/>
          <w:szCs w:val="16"/>
          <w:lang w:eastAsia="en-US"/>
        </w:rPr>
      </w:pPr>
    </w:p>
    <w:p w14:paraId="3E580EDB" w14:textId="427062B0" w:rsidR="00B34C3D" w:rsidRDefault="00FF230F" w:rsidP="00B34C3D">
      <w:pPr>
        <w:pStyle w:val="2-TITRE2"/>
        <w:rPr>
          <w:color w:val="7030A0"/>
          <w:w w:val="105"/>
        </w:rPr>
      </w:pPr>
      <w:r w:rsidRPr="005C1BCA">
        <w:rPr>
          <w:color w:val="7030A0"/>
          <w:w w:val="105"/>
        </w:rPr>
        <w:t>Référence 8</w:t>
      </w:r>
      <w:r w:rsidR="003C3531">
        <w:rPr>
          <w:color w:val="7030A0"/>
          <w:w w:val="105"/>
        </w:rPr>
        <w:t> :</w:t>
      </w:r>
      <w:r w:rsidRPr="005C1BCA">
        <w:rPr>
          <w:color w:val="7030A0"/>
          <w:w w:val="105"/>
        </w:rPr>
        <w:t xml:space="preserve"> Les doctorants </w:t>
      </w:r>
      <w:r w:rsidR="000C110A" w:rsidRPr="005C1BCA">
        <w:rPr>
          <w:color w:val="7030A0"/>
          <w:w w:val="105"/>
        </w:rPr>
        <w:t xml:space="preserve">et les candidats à l’HDR </w:t>
      </w:r>
      <w:r w:rsidR="0029030A" w:rsidRPr="005C1BCA">
        <w:rPr>
          <w:color w:val="7030A0"/>
          <w:w w:val="105"/>
        </w:rPr>
        <w:t>bénéficient d’un encadrement et d’un accompagnement de</w:t>
      </w:r>
      <w:r w:rsidRPr="005C1BCA">
        <w:rPr>
          <w:color w:val="7030A0"/>
          <w:w w:val="105"/>
        </w:rPr>
        <w:t xml:space="preserve"> qualité permettant le bon déroulement de leurs travaux de recherche.</w:t>
      </w:r>
    </w:p>
    <w:p w14:paraId="6C86CFF4" w14:textId="77777777" w:rsidR="00E32837" w:rsidRPr="00E32837" w:rsidRDefault="00E32837" w:rsidP="00E32837">
      <w:pPr>
        <w:rPr>
          <w:rFonts w:ascii="Verdana" w:hAnsi="Verdana"/>
          <w:sz w:val="16"/>
          <w:szCs w:val="16"/>
        </w:rPr>
      </w:pPr>
    </w:p>
    <w:p w14:paraId="4F394435" w14:textId="744254D6" w:rsidR="00E32837" w:rsidRPr="00E32837" w:rsidRDefault="00E32837" w:rsidP="00E32837">
      <w:pPr>
        <w:pStyle w:val="5-POINTSFORTSETFAIBLES"/>
        <w:numPr>
          <w:ilvl w:val="0"/>
          <w:numId w:val="40"/>
        </w:numPr>
        <w:spacing w:before="120"/>
        <w:ind w:left="851" w:hanging="284"/>
        <w:rPr>
          <w:rFonts w:ascii="Century Gothic" w:hAnsi="Century Gothic"/>
          <w:lang w:eastAsia="en-US"/>
        </w:rPr>
      </w:pPr>
      <w:r w:rsidRPr="00E32837">
        <w:rPr>
          <w:rFonts w:ascii="Century Gothic" w:hAnsi="Century Gothic"/>
          <w:lang w:eastAsia="en-US"/>
        </w:rPr>
        <w:t xml:space="preserve">C1. Les règles et les modalités de suivi et d’encadrement des doctorants sont définies au sein de l’école doctorale, </w:t>
      </w:r>
      <w:r w:rsidR="00BE7F87" w:rsidRPr="001C5E8B">
        <w:rPr>
          <w:rFonts w:ascii="Century Gothic" w:hAnsi="Century Gothic"/>
          <w:lang w:eastAsia="en-US"/>
        </w:rPr>
        <w:t>en tenant compte des principes de l’intégrité scientifique</w:t>
      </w:r>
      <w:r w:rsidR="00BE7F87">
        <w:rPr>
          <w:rFonts w:ascii="Century Gothic" w:hAnsi="Century Gothic"/>
          <w:lang w:eastAsia="en-US"/>
        </w:rPr>
        <w:t xml:space="preserve"> et </w:t>
      </w:r>
      <w:r w:rsidRPr="00E32837">
        <w:rPr>
          <w:rFonts w:ascii="Century Gothic" w:hAnsi="Century Gothic"/>
          <w:lang w:eastAsia="en-US"/>
        </w:rPr>
        <w:t>en associant les unités de recherche qui lui sont rattachées et ses partenaires.</w:t>
      </w:r>
    </w:p>
    <w:p w14:paraId="783B6FD1" w14:textId="04F54A39" w:rsidR="00E32837" w:rsidRPr="00E32837" w:rsidRDefault="00E32837" w:rsidP="00E32837">
      <w:pPr>
        <w:pStyle w:val="5-POINTSFORTSETFAIBLES"/>
        <w:numPr>
          <w:ilvl w:val="0"/>
          <w:numId w:val="40"/>
        </w:numPr>
        <w:spacing w:before="120"/>
        <w:ind w:left="851" w:hanging="284"/>
        <w:rPr>
          <w:rFonts w:ascii="Century Gothic" w:hAnsi="Century Gothic"/>
          <w:lang w:eastAsia="en-US"/>
        </w:rPr>
      </w:pPr>
      <w:r w:rsidRPr="00E32837">
        <w:rPr>
          <w:rFonts w:ascii="Century Gothic" w:hAnsi="Century Gothic"/>
          <w:lang w:eastAsia="en-US"/>
        </w:rPr>
        <w:t xml:space="preserve">C2. Les règles et les modalités de suivi et d’accompagnement des candidats à l’HDR sont définies à l’échelle de l’école doctorale, </w:t>
      </w:r>
      <w:r w:rsidR="00BE7F87" w:rsidRPr="001C5E8B">
        <w:rPr>
          <w:rFonts w:ascii="Century Gothic" w:hAnsi="Century Gothic"/>
          <w:lang w:eastAsia="en-US"/>
        </w:rPr>
        <w:t>en tenant compte des principes de l’intégrité scientifique</w:t>
      </w:r>
      <w:r w:rsidR="00BE7F87">
        <w:rPr>
          <w:rFonts w:ascii="Century Gothic" w:hAnsi="Century Gothic"/>
          <w:lang w:eastAsia="en-US"/>
        </w:rPr>
        <w:t xml:space="preserve"> et </w:t>
      </w:r>
      <w:r w:rsidRPr="00E32837">
        <w:rPr>
          <w:rFonts w:ascii="Century Gothic" w:hAnsi="Century Gothic"/>
          <w:lang w:eastAsia="en-US"/>
        </w:rPr>
        <w:t>en associant les unités de recherche qui lui sont rattachées, ou à l’échelle de l’établissement, en associant celles-ci.</w:t>
      </w:r>
    </w:p>
    <w:p w14:paraId="6D614AC0" w14:textId="7D2E673C" w:rsidR="007F0C97" w:rsidRPr="00E32837" w:rsidRDefault="00543DD9" w:rsidP="00E32837">
      <w:pPr>
        <w:pStyle w:val="5-POINTSFORTSETFAIBLES"/>
        <w:numPr>
          <w:ilvl w:val="0"/>
          <w:numId w:val="40"/>
        </w:numPr>
        <w:spacing w:before="120"/>
        <w:ind w:left="851" w:hanging="284"/>
        <w:rPr>
          <w:rFonts w:ascii="Century Gothic" w:hAnsi="Century Gothic"/>
          <w:lang w:eastAsia="en-US"/>
        </w:rPr>
      </w:pPr>
      <w:r w:rsidRPr="00E32837">
        <w:rPr>
          <w:rFonts w:ascii="Century Gothic" w:hAnsi="Century Gothic"/>
          <w:lang w:eastAsia="en-US"/>
        </w:rPr>
        <w:t>C3. La composition et le fonctionnement des comités de suivi individuels (CSI) sont conformes aux dispositions réglementaires. La mise en œuvr</w:t>
      </w:r>
      <w:r w:rsidR="00F64681" w:rsidRPr="00E32837">
        <w:rPr>
          <w:rFonts w:ascii="Century Gothic" w:hAnsi="Century Gothic"/>
          <w:lang w:eastAsia="en-US"/>
        </w:rPr>
        <w:t>e effective est assurée par l’école doctorale</w:t>
      </w:r>
      <w:r w:rsidRPr="00E32837">
        <w:rPr>
          <w:rFonts w:ascii="Century Gothic" w:hAnsi="Century Gothic"/>
          <w:lang w:eastAsia="en-US"/>
        </w:rPr>
        <w:t xml:space="preserve"> en lien avec les unités de recherche qui lui sont rattachées.</w:t>
      </w:r>
    </w:p>
    <w:p w14:paraId="039317B6" w14:textId="71B6232A" w:rsidR="007F0C97" w:rsidRPr="00E32837" w:rsidRDefault="00543DD9" w:rsidP="00E32837">
      <w:pPr>
        <w:pStyle w:val="5-POINTSFORTSETFAIBLES"/>
        <w:numPr>
          <w:ilvl w:val="0"/>
          <w:numId w:val="40"/>
        </w:numPr>
        <w:spacing w:before="120"/>
        <w:ind w:left="851" w:hanging="284"/>
        <w:rPr>
          <w:rFonts w:ascii="Century Gothic" w:hAnsi="Century Gothic"/>
          <w:lang w:eastAsia="en-US"/>
        </w:rPr>
      </w:pPr>
      <w:r w:rsidRPr="00E32837">
        <w:rPr>
          <w:rFonts w:ascii="Century Gothic" w:hAnsi="Century Gothic"/>
          <w:lang w:eastAsia="en-US"/>
        </w:rPr>
        <w:t>C4. Les doctorants bénéficient de dispositifs de soutien pour mener et valoriser leurs travaux de recherche. Ils incluent les conditions matérielles et financières nécessaires pour la réalisation du doctorat.</w:t>
      </w:r>
    </w:p>
    <w:p w14:paraId="77E64D4A" w14:textId="77777777" w:rsidR="00E32837" w:rsidRPr="00E32837" w:rsidRDefault="00E32837" w:rsidP="00E32837">
      <w:pPr>
        <w:pStyle w:val="5-POINTSFORTSETFAIBLES"/>
        <w:numPr>
          <w:ilvl w:val="0"/>
          <w:numId w:val="40"/>
        </w:numPr>
        <w:spacing w:before="120"/>
        <w:ind w:left="851" w:hanging="284"/>
        <w:rPr>
          <w:rFonts w:ascii="Century Gothic" w:hAnsi="Century Gothic"/>
          <w:lang w:eastAsia="en-US"/>
        </w:rPr>
      </w:pPr>
      <w:r w:rsidRPr="00E32837">
        <w:rPr>
          <w:rFonts w:ascii="Century Gothic" w:hAnsi="Century Gothic"/>
          <w:lang w:eastAsia="en-US"/>
        </w:rPr>
        <w:t xml:space="preserve">C5. Les dispositifs d’encadrement des doctorants et d’accompagnement des candidats à l’HDR intègrent des mesures en faveur de la promotion des bonnes pratiques, de la lutte contre les discriminations et les stéréotypes, ainsi que de la prévention des conflits et du harcèlement. </w:t>
      </w:r>
    </w:p>
    <w:p w14:paraId="59300EF6" w14:textId="1982D463" w:rsidR="00E32837" w:rsidRPr="00E32837" w:rsidRDefault="00E32837" w:rsidP="00E32837">
      <w:pPr>
        <w:pStyle w:val="5-POINTSFORTSETFAIBLES"/>
        <w:numPr>
          <w:ilvl w:val="0"/>
          <w:numId w:val="40"/>
        </w:numPr>
        <w:spacing w:before="120"/>
        <w:ind w:left="851" w:hanging="284"/>
        <w:rPr>
          <w:rFonts w:ascii="Century Gothic" w:hAnsi="Century Gothic"/>
          <w:lang w:eastAsia="en-US"/>
        </w:rPr>
      </w:pPr>
      <w:r w:rsidRPr="00E32837">
        <w:rPr>
          <w:rFonts w:ascii="Century Gothic" w:hAnsi="Century Gothic"/>
          <w:lang w:eastAsia="en-US"/>
        </w:rPr>
        <w:t>C6. Les règles et les critères de soutenance des thèses de doctorat sont définies au sein de l’école doctorale, en associant les unités de recherche qui lui sont rattachées et ses partenaires. Ils visent à vérifier la production de connaissances nouvelles et à garantir la qualité du doctorat. Ils peuvent inclure des conditions incitatives à la production scientifique en amont de la soutenance.</w:t>
      </w:r>
    </w:p>
    <w:p w14:paraId="736FFB44" w14:textId="532E6584" w:rsidR="00E32837" w:rsidRPr="00E32837" w:rsidRDefault="00E32837" w:rsidP="00E32837">
      <w:pPr>
        <w:pStyle w:val="5-POINTSFORTSETFAIBLES"/>
        <w:numPr>
          <w:ilvl w:val="0"/>
          <w:numId w:val="40"/>
        </w:numPr>
        <w:spacing w:before="120"/>
        <w:ind w:left="851" w:hanging="284"/>
        <w:rPr>
          <w:rFonts w:ascii="Century Gothic" w:hAnsi="Century Gothic"/>
          <w:lang w:eastAsia="en-US"/>
        </w:rPr>
      </w:pPr>
      <w:r w:rsidRPr="00E32837">
        <w:rPr>
          <w:rFonts w:ascii="Century Gothic" w:hAnsi="Century Gothic"/>
          <w:lang w:eastAsia="en-US"/>
        </w:rPr>
        <w:t>C7. Les règles et les critères de soutenance des HDR sont définies à l’échelle de l’école doctorale, en associant les unités de recherche qui lui sont rattachées, ou à l’échelle de l’établissement en associant celle-ci.</w:t>
      </w:r>
    </w:p>
    <w:p w14:paraId="2BC21E27" w14:textId="77777777" w:rsidR="00B34C3D" w:rsidRPr="00E32837" w:rsidRDefault="00B34C3D" w:rsidP="00E32837">
      <w:pPr>
        <w:pStyle w:val="4-TextePAO"/>
        <w:ind w:firstLine="0"/>
        <w:rPr>
          <w:rFonts w:ascii="Verdana" w:hAnsi="Verdana"/>
          <w:sz w:val="16"/>
          <w:szCs w:val="16"/>
        </w:rPr>
      </w:pPr>
    </w:p>
    <w:p w14:paraId="274B0CBA" w14:textId="77777777" w:rsidR="0018325C" w:rsidRDefault="00FF230F" w:rsidP="00B34C3D">
      <w:pPr>
        <w:pStyle w:val="2-TITRE2"/>
        <w:rPr>
          <w:w w:val="105"/>
        </w:rPr>
      </w:pPr>
      <w:r w:rsidRPr="00FF230F">
        <w:rPr>
          <w:w w:val="105"/>
        </w:rPr>
        <w:t>Référence 9</w:t>
      </w:r>
      <w:r w:rsidR="003C3531">
        <w:rPr>
          <w:w w:val="105"/>
        </w:rPr>
        <w:t> :</w:t>
      </w:r>
      <w:r w:rsidRPr="00FF230F">
        <w:rPr>
          <w:w w:val="105"/>
        </w:rPr>
        <w:t xml:space="preserve"> Les dispositifs de la form</w:t>
      </w:r>
      <w:r w:rsidR="009F155A">
        <w:rPr>
          <w:w w:val="105"/>
        </w:rPr>
        <w:t>ation doctorale sont adaptés aux</w:t>
      </w:r>
      <w:r w:rsidRPr="00FF230F">
        <w:rPr>
          <w:w w:val="105"/>
        </w:rPr>
        <w:t xml:space="preserve"> doctorants internationaux.</w:t>
      </w:r>
    </w:p>
    <w:p w14:paraId="510B8AAB" w14:textId="4E2EE403" w:rsidR="00B34C3D" w:rsidRPr="0018325C" w:rsidRDefault="00B34C3D" w:rsidP="00B34C3D">
      <w:pPr>
        <w:pStyle w:val="2-TITRE2"/>
        <w:rPr>
          <w:rFonts w:ascii="Verdana" w:hAnsi="Verdana"/>
          <w:b w:val="0"/>
          <w:bCs/>
          <w:color w:val="auto"/>
          <w:w w:val="105"/>
          <w:sz w:val="16"/>
          <w:szCs w:val="16"/>
        </w:rPr>
      </w:pPr>
    </w:p>
    <w:p w14:paraId="6F0E62DF" w14:textId="77777777" w:rsidR="007F0C97" w:rsidRDefault="007F0C97" w:rsidP="007F0C97">
      <w:pPr>
        <w:pStyle w:val="5-POINTSFORTSETFAIBLES"/>
        <w:numPr>
          <w:ilvl w:val="0"/>
          <w:numId w:val="40"/>
        </w:numPr>
        <w:spacing w:before="120"/>
        <w:ind w:left="851" w:hanging="284"/>
        <w:rPr>
          <w:rFonts w:ascii="Century Gothic" w:hAnsi="Century Gothic"/>
          <w:lang w:eastAsia="en-US"/>
        </w:rPr>
      </w:pPr>
      <w:r w:rsidRPr="007F0C97">
        <w:rPr>
          <w:rFonts w:ascii="Century Gothic" w:hAnsi="Century Gothic"/>
          <w:lang w:eastAsia="en-US"/>
        </w:rPr>
        <w:t>C1. La formation doctorale inclut des dispositifs de soutien à la préparation et au développement de la mobilité entrante et sortante des doctorants.</w:t>
      </w:r>
    </w:p>
    <w:p w14:paraId="6505F65B" w14:textId="77777777" w:rsidR="007F0C97" w:rsidRDefault="007F0C97" w:rsidP="007F0C97">
      <w:pPr>
        <w:pStyle w:val="5-POINTSFORTSETFAIBLES"/>
        <w:numPr>
          <w:ilvl w:val="0"/>
          <w:numId w:val="40"/>
        </w:numPr>
        <w:spacing w:before="120"/>
        <w:ind w:left="851" w:hanging="284"/>
        <w:rPr>
          <w:rFonts w:ascii="Century Gothic" w:hAnsi="Century Gothic"/>
          <w:lang w:eastAsia="en-US"/>
        </w:rPr>
      </w:pPr>
      <w:r w:rsidRPr="007F0C97">
        <w:rPr>
          <w:rFonts w:ascii="Century Gothic" w:hAnsi="Century Gothic"/>
          <w:lang w:eastAsia="en-US"/>
        </w:rPr>
        <w:t>C2. La formation doctorale inclut des enseignements en langue étrangère, en a</w:t>
      </w:r>
      <w:r>
        <w:rPr>
          <w:rFonts w:ascii="Century Gothic" w:hAnsi="Century Gothic"/>
          <w:lang w:eastAsia="en-US"/>
        </w:rPr>
        <w:t>ppui à son internationalisation.</w:t>
      </w:r>
    </w:p>
    <w:p w14:paraId="220CAD1A" w14:textId="0D0459D0" w:rsidR="00CB013C" w:rsidRPr="00794C07" w:rsidRDefault="007F0C97" w:rsidP="00794C07">
      <w:pPr>
        <w:pStyle w:val="5-POINTSFORTSETFAIBLES"/>
        <w:numPr>
          <w:ilvl w:val="0"/>
          <w:numId w:val="40"/>
        </w:numPr>
        <w:spacing w:before="120"/>
        <w:ind w:left="851" w:hanging="284"/>
        <w:rPr>
          <w:rFonts w:ascii="Century Gothic" w:hAnsi="Century Gothic"/>
          <w:lang w:eastAsia="en-US"/>
        </w:rPr>
      </w:pPr>
      <w:r w:rsidRPr="007F0C97">
        <w:rPr>
          <w:rFonts w:ascii="Century Gothic" w:hAnsi="Century Gothic"/>
          <w:lang w:eastAsia="en-US"/>
        </w:rPr>
        <w:t>C3. La formation do</w:t>
      </w:r>
      <w:r w:rsidR="0047531F">
        <w:rPr>
          <w:rFonts w:ascii="Century Gothic" w:hAnsi="Century Gothic"/>
          <w:lang w:eastAsia="en-US"/>
        </w:rPr>
        <w:t>ctorale inclut des formations assurées</w:t>
      </w:r>
      <w:r w:rsidRPr="007F0C97">
        <w:rPr>
          <w:rFonts w:ascii="Century Gothic" w:hAnsi="Century Gothic"/>
          <w:lang w:eastAsia="en-US"/>
        </w:rPr>
        <w:t xml:space="preserve"> partiellement ou entièrement à distance et s’appuie sur les outils numériques de diffusion et d’enseignement, en particulier pour favoriser l’accès des publics distants</w:t>
      </w:r>
      <w:r w:rsidR="0047531F">
        <w:rPr>
          <w:rFonts w:ascii="Century Gothic" w:hAnsi="Century Gothic"/>
          <w:lang w:eastAsia="en-US"/>
        </w:rPr>
        <w:t>,</w:t>
      </w:r>
      <w:r w:rsidRPr="007F0C97">
        <w:rPr>
          <w:rFonts w:ascii="Century Gothic" w:hAnsi="Century Gothic"/>
          <w:lang w:eastAsia="en-US"/>
        </w:rPr>
        <w:t xml:space="preserve"> dont les doctorants en mobilité inter</w:t>
      </w:r>
      <w:r w:rsidR="0047531F">
        <w:rPr>
          <w:rFonts w:ascii="Century Gothic" w:hAnsi="Century Gothic"/>
          <w:lang w:eastAsia="en-US"/>
        </w:rPr>
        <w:t>nationale ou sur terrain d’étude</w:t>
      </w:r>
      <w:r w:rsidRPr="007F0C97">
        <w:rPr>
          <w:rFonts w:ascii="Century Gothic" w:hAnsi="Century Gothic"/>
          <w:lang w:eastAsia="en-US"/>
        </w:rPr>
        <w:t>.</w:t>
      </w:r>
    </w:p>
    <w:p w14:paraId="728A784D" w14:textId="14C6E2E3" w:rsidR="00CB5168" w:rsidRPr="0018325C" w:rsidRDefault="00CB5168" w:rsidP="00794C07">
      <w:pPr>
        <w:ind w:left="0"/>
        <w:rPr>
          <w:rFonts w:ascii="Verdana" w:hAnsi="Verdana"/>
          <w:sz w:val="16"/>
          <w:szCs w:val="16"/>
          <w:lang w:eastAsia="fr-FR"/>
        </w:rPr>
      </w:pPr>
    </w:p>
    <w:p w14:paraId="392ABA36" w14:textId="77777777" w:rsidR="00CB5168" w:rsidRPr="0018325C" w:rsidRDefault="00CB5168" w:rsidP="00794C07">
      <w:pPr>
        <w:ind w:left="0"/>
        <w:rPr>
          <w:rFonts w:ascii="Verdana" w:hAnsi="Verdana"/>
          <w:sz w:val="16"/>
          <w:szCs w:val="16"/>
          <w:lang w:eastAsia="fr-FR"/>
        </w:rPr>
      </w:pPr>
    </w:p>
    <w:p w14:paraId="7E12E4F2" w14:textId="4349DDD8" w:rsidR="00B34C3D" w:rsidRDefault="00FF230F" w:rsidP="00B34C3D">
      <w:pPr>
        <w:pStyle w:val="1-TITRE1"/>
        <w:rPr>
          <w:noProof w:val="0"/>
        </w:rPr>
      </w:pPr>
      <w:r>
        <w:rPr>
          <w:noProof w:val="0"/>
        </w:rPr>
        <w:t xml:space="preserve">DOMAINE 3 : </w:t>
      </w:r>
      <w:r w:rsidRPr="00FF230F">
        <w:rPr>
          <w:noProof w:val="0"/>
        </w:rPr>
        <w:t>L’ATTRACTIVITÉ, LA PERFORMANCE ET LA PERTINENCE DE LA FORMATION DOCTORALE</w:t>
      </w:r>
    </w:p>
    <w:p w14:paraId="45559291" w14:textId="77777777" w:rsidR="00E32837" w:rsidRDefault="00E32837" w:rsidP="00E32837">
      <w:pPr>
        <w:pStyle w:val="2-TITRE2"/>
        <w:rPr>
          <w:w w:val="105"/>
        </w:rPr>
      </w:pPr>
      <w:r w:rsidRPr="0018325C">
        <w:rPr>
          <w:color w:val="7030A0"/>
          <w:w w:val="105"/>
        </w:rPr>
        <w:t xml:space="preserve">Référence 10 : Le suivi des flux des candidatures et des inscriptions permet de mesurer </w:t>
      </w:r>
      <w:r w:rsidRPr="00FF230F">
        <w:rPr>
          <w:w w:val="105"/>
        </w:rPr>
        <w:t>et d’améliorer l’attractivité du doctorat.</w:t>
      </w:r>
    </w:p>
    <w:p w14:paraId="7EE496F2" w14:textId="77777777" w:rsidR="00E32837" w:rsidRPr="00966853" w:rsidRDefault="00E32837" w:rsidP="00E32837"/>
    <w:p w14:paraId="78D8C94D" w14:textId="77777777" w:rsidR="00E32837" w:rsidRPr="00E32837" w:rsidRDefault="00E32837" w:rsidP="00E32837">
      <w:pPr>
        <w:pStyle w:val="5-POINTSFORTSETFAIBLES"/>
        <w:numPr>
          <w:ilvl w:val="0"/>
          <w:numId w:val="40"/>
        </w:numPr>
        <w:spacing w:before="0"/>
        <w:ind w:left="851" w:hanging="284"/>
        <w:rPr>
          <w:rFonts w:ascii="Century Gothic" w:hAnsi="Century Gothic"/>
          <w:lang w:eastAsia="en-US"/>
        </w:rPr>
      </w:pPr>
      <w:r w:rsidRPr="00E32837">
        <w:rPr>
          <w:rFonts w:ascii="Century Gothic" w:hAnsi="Century Gothic"/>
          <w:lang w:eastAsia="en-US"/>
        </w:rPr>
        <w:t>C1. Les dispositifs d’information sur la formation doctorale mis en place par l’école doctorale ou par l’établissement, ainsi que les dispositifs de financement mis en place dans son périmètre contribuent à améliorer sa visibilité et son attractivité.</w:t>
      </w:r>
    </w:p>
    <w:p w14:paraId="1CDD85EA" w14:textId="2FEED7C7" w:rsidR="00E32837" w:rsidRPr="00E32837" w:rsidRDefault="00E32837" w:rsidP="00E32837">
      <w:pPr>
        <w:pStyle w:val="5-POINTSFORTSETFAIBLES"/>
        <w:numPr>
          <w:ilvl w:val="0"/>
          <w:numId w:val="40"/>
        </w:numPr>
        <w:spacing w:before="0"/>
        <w:ind w:left="851" w:hanging="284"/>
        <w:rPr>
          <w:rFonts w:ascii="Century Gothic" w:hAnsi="Century Gothic"/>
          <w:lang w:eastAsia="en-US"/>
        </w:rPr>
      </w:pPr>
      <w:r w:rsidRPr="00E32837">
        <w:rPr>
          <w:rFonts w:ascii="Century Gothic" w:hAnsi="Century Gothic"/>
          <w:lang w:eastAsia="en-US"/>
        </w:rPr>
        <w:t>C2. La formation doctorale mesure son attractivité en suivant et en analysant l’évolution des candidatures et des inscriptions des doctorants.</w:t>
      </w:r>
    </w:p>
    <w:p w14:paraId="4444C72B" w14:textId="65FEF901" w:rsidR="00B34C3D" w:rsidRPr="00E32837" w:rsidRDefault="00B34C3D" w:rsidP="00E32837">
      <w:pPr>
        <w:pStyle w:val="4-TextePAO"/>
        <w:rPr>
          <w:rFonts w:ascii="Verdana" w:hAnsi="Verdana"/>
          <w:noProof w:val="0"/>
          <w:sz w:val="16"/>
          <w:szCs w:val="16"/>
        </w:rPr>
      </w:pPr>
    </w:p>
    <w:p w14:paraId="713E0A17" w14:textId="358B02BD" w:rsidR="00386B2E" w:rsidRDefault="00FF230F" w:rsidP="00386B2E">
      <w:pPr>
        <w:pStyle w:val="2-TITRE2"/>
        <w:rPr>
          <w:w w:val="105"/>
        </w:rPr>
      </w:pPr>
      <w:r w:rsidRPr="00FF230F">
        <w:rPr>
          <w:w w:val="105"/>
        </w:rPr>
        <w:t>Référence 11</w:t>
      </w:r>
      <w:r w:rsidR="003C3531">
        <w:rPr>
          <w:w w:val="105"/>
        </w:rPr>
        <w:t> :</w:t>
      </w:r>
      <w:r w:rsidRPr="00FF230F">
        <w:rPr>
          <w:w w:val="105"/>
        </w:rPr>
        <w:t xml:space="preserve"> Les dispositifs d’accompagnement et d’aménag</w:t>
      </w:r>
      <w:r w:rsidR="0047531F">
        <w:rPr>
          <w:w w:val="105"/>
        </w:rPr>
        <w:t>ement du parcours d</w:t>
      </w:r>
      <w:r w:rsidR="00E76E51">
        <w:rPr>
          <w:w w:val="105"/>
        </w:rPr>
        <w:t>es</w:t>
      </w:r>
      <w:r w:rsidR="0047531F">
        <w:rPr>
          <w:w w:val="105"/>
        </w:rPr>
        <w:t xml:space="preserve"> doctorant</w:t>
      </w:r>
      <w:r w:rsidR="00E76E51">
        <w:rPr>
          <w:w w:val="105"/>
        </w:rPr>
        <w:t>s</w:t>
      </w:r>
      <w:r w:rsidRPr="00FF230F">
        <w:rPr>
          <w:w w:val="105"/>
        </w:rPr>
        <w:t xml:space="preserve"> permettent de mesurer et d’améliorer la performance de la formation doctorale.</w:t>
      </w:r>
    </w:p>
    <w:p w14:paraId="30F4E29B" w14:textId="77777777" w:rsidR="0018325C" w:rsidRPr="0018325C" w:rsidRDefault="0018325C" w:rsidP="0018325C">
      <w:pPr>
        <w:rPr>
          <w:rFonts w:ascii="Verdana" w:hAnsi="Verdana"/>
          <w:sz w:val="16"/>
          <w:szCs w:val="16"/>
        </w:rPr>
      </w:pPr>
    </w:p>
    <w:p w14:paraId="5744621E" w14:textId="047F4A76" w:rsidR="0030081C" w:rsidRPr="0030081C" w:rsidRDefault="0030081C" w:rsidP="0030081C">
      <w:pPr>
        <w:pStyle w:val="5-POINTSFORTSETFAIBLES"/>
        <w:numPr>
          <w:ilvl w:val="0"/>
          <w:numId w:val="40"/>
        </w:numPr>
        <w:spacing w:before="120"/>
        <w:ind w:left="851" w:hanging="284"/>
        <w:rPr>
          <w:rFonts w:ascii="Century Gothic" w:hAnsi="Century Gothic"/>
          <w:lang w:eastAsia="en-US"/>
        </w:rPr>
      </w:pPr>
      <w:r w:rsidRPr="007F0C97">
        <w:rPr>
          <w:rFonts w:ascii="Century Gothic" w:hAnsi="Century Gothic"/>
          <w:lang w:eastAsia="en-US"/>
        </w:rPr>
        <w:t>C1. L</w:t>
      </w:r>
      <w:r>
        <w:rPr>
          <w:rFonts w:ascii="Century Gothic" w:hAnsi="Century Gothic"/>
          <w:lang w:eastAsia="en-US"/>
        </w:rPr>
        <w:t>es dispositifs d’accompagnement et d’aménagement du parcours des doctorants contribuent au bon déroulement de ceux-ci. Ces dispositifs concernent notamment les mesures garantissant le bon déroulement des thèses et celles permettant l’aménagement des parcours des publics ayant des besoins spécifiques</w:t>
      </w:r>
      <w:r w:rsidRPr="0030081C">
        <w:rPr>
          <w:rFonts w:ascii="Century Gothic" w:hAnsi="Century Gothic"/>
          <w:lang w:eastAsia="en-US"/>
        </w:rPr>
        <w:t>.</w:t>
      </w:r>
    </w:p>
    <w:p w14:paraId="213E04ED" w14:textId="77777777" w:rsidR="0030081C" w:rsidRPr="00E32837" w:rsidRDefault="0030081C" w:rsidP="00E32837">
      <w:pPr>
        <w:ind w:left="0"/>
        <w:rPr>
          <w:rFonts w:ascii="Verdana" w:hAnsi="Verdana"/>
          <w:sz w:val="16"/>
          <w:szCs w:val="16"/>
        </w:rPr>
      </w:pPr>
    </w:p>
    <w:p w14:paraId="1623F14E" w14:textId="366B3C73" w:rsidR="00B34C3D" w:rsidRDefault="00FF230F" w:rsidP="00B34C3D">
      <w:pPr>
        <w:pStyle w:val="2-TITRE2"/>
        <w:rPr>
          <w:w w:val="105"/>
        </w:rPr>
      </w:pPr>
      <w:r w:rsidRPr="00FF230F">
        <w:rPr>
          <w:w w:val="105"/>
        </w:rPr>
        <w:t>Référence 12</w:t>
      </w:r>
      <w:r w:rsidR="00E76E51">
        <w:rPr>
          <w:w w:val="105"/>
        </w:rPr>
        <w:t> :</w:t>
      </w:r>
      <w:r w:rsidRPr="00FF230F">
        <w:rPr>
          <w:w w:val="105"/>
        </w:rPr>
        <w:t xml:space="preserve"> Le suivi du devenir professionnel des docteurs permet de mesurer et d’améliorer la pertinence de la formation doctorale au regard de ses objectifs et de la réalité du marché du travail.</w:t>
      </w:r>
    </w:p>
    <w:p w14:paraId="4AFAD69A" w14:textId="77777777" w:rsidR="0018325C" w:rsidRPr="0018325C" w:rsidRDefault="0018325C" w:rsidP="0018325C">
      <w:pPr>
        <w:rPr>
          <w:rFonts w:ascii="Verdana" w:hAnsi="Verdana"/>
          <w:sz w:val="16"/>
          <w:szCs w:val="16"/>
        </w:rPr>
      </w:pPr>
    </w:p>
    <w:p w14:paraId="32668868" w14:textId="30FB9BAC" w:rsidR="00734DB3" w:rsidRDefault="00386B2E" w:rsidP="00734DB3">
      <w:pPr>
        <w:pStyle w:val="5-POINTSFORTSETFAIBLES"/>
        <w:numPr>
          <w:ilvl w:val="0"/>
          <w:numId w:val="40"/>
        </w:numPr>
        <w:spacing w:before="120"/>
        <w:ind w:left="851" w:hanging="284"/>
        <w:rPr>
          <w:rFonts w:ascii="Century Gothic" w:hAnsi="Century Gothic"/>
          <w:lang w:eastAsia="en-US"/>
        </w:rPr>
      </w:pPr>
      <w:r w:rsidRPr="00386B2E">
        <w:rPr>
          <w:rFonts w:ascii="Century Gothic" w:hAnsi="Century Gothic"/>
          <w:lang w:eastAsia="en-US"/>
        </w:rPr>
        <w:t>C1. La pertinence de la form</w:t>
      </w:r>
      <w:r w:rsidR="00002261">
        <w:rPr>
          <w:rFonts w:ascii="Century Gothic" w:hAnsi="Century Gothic"/>
          <w:lang w:eastAsia="en-US"/>
        </w:rPr>
        <w:t>ation doctorale est analysée à travers la qualité du parcours</w:t>
      </w:r>
      <w:r w:rsidRPr="00386B2E">
        <w:rPr>
          <w:rFonts w:ascii="Century Gothic" w:hAnsi="Century Gothic"/>
          <w:lang w:eastAsia="en-US"/>
        </w:rPr>
        <w:t xml:space="preserve"> professionnel des </w:t>
      </w:r>
      <w:r w:rsidRPr="00A82D8F">
        <w:rPr>
          <w:rFonts w:ascii="Century Gothic" w:hAnsi="Century Gothic"/>
          <w:lang w:eastAsia="en-US"/>
        </w:rPr>
        <w:t xml:space="preserve">docteurs et mesurée à partir des </w:t>
      </w:r>
      <w:r w:rsidR="007324C4" w:rsidRPr="00A82D8F">
        <w:rPr>
          <w:rFonts w:ascii="Century Gothic" w:hAnsi="Century Gothic"/>
          <w:lang w:eastAsia="en-US"/>
        </w:rPr>
        <w:t>enquêtes de suivi du devenir professionnel</w:t>
      </w:r>
      <w:r w:rsidR="00002261">
        <w:rPr>
          <w:rFonts w:ascii="Century Gothic" w:hAnsi="Century Gothic"/>
          <w:lang w:eastAsia="en-US"/>
        </w:rPr>
        <w:t xml:space="preserve"> et </w:t>
      </w:r>
      <w:r w:rsidRPr="00A82D8F">
        <w:rPr>
          <w:rFonts w:ascii="Century Gothic" w:hAnsi="Century Gothic"/>
          <w:lang w:eastAsia="en-US"/>
        </w:rPr>
        <w:t>de cohortes.</w:t>
      </w:r>
    </w:p>
    <w:p w14:paraId="3F8FD6D2" w14:textId="6B59CE37" w:rsidR="00E32837" w:rsidRDefault="00E32837" w:rsidP="00734DB3">
      <w:pPr>
        <w:pStyle w:val="5-POINTSFORTSETFAIBLES"/>
        <w:numPr>
          <w:ilvl w:val="0"/>
          <w:numId w:val="40"/>
        </w:numPr>
        <w:spacing w:before="120"/>
        <w:ind w:left="851" w:hanging="284"/>
        <w:rPr>
          <w:rFonts w:ascii="Century Gothic" w:hAnsi="Century Gothic"/>
          <w:lang w:eastAsia="en-US"/>
        </w:rPr>
      </w:pPr>
      <w:r w:rsidRPr="0018325C">
        <w:rPr>
          <w:rFonts w:ascii="Century Gothic" w:hAnsi="Century Gothic"/>
          <w:lang w:eastAsia="en-US"/>
        </w:rPr>
        <w:t xml:space="preserve">C2. Les résultats du devenir des docteurs sont analysés et font l’objet d’une communication, dans une </w:t>
      </w:r>
      <w:r w:rsidRPr="00386B2E">
        <w:rPr>
          <w:rFonts w:ascii="Century Gothic" w:hAnsi="Century Gothic"/>
          <w:lang w:eastAsia="en-US"/>
        </w:rPr>
        <w:t>perspective de valorisation du doctorat auprès des candidats potentiels et des milieux socio-professionnels.</w:t>
      </w:r>
    </w:p>
    <w:p w14:paraId="25C43E64" w14:textId="751150F6" w:rsidR="004864FD" w:rsidRDefault="004864FD" w:rsidP="004864FD">
      <w:pPr>
        <w:pStyle w:val="5-POINTSFORTSETFAIBLES"/>
        <w:spacing w:before="0"/>
        <w:rPr>
          <w:rFonts w:ascii="Verdana" w:hAnsi="Verdana"/>
          <w:sz w:val="16"/>
          <w:szCs w:val="16"/>
          <w:lang w:eastAsia="en-US"/>
        </w:rPr>
      </w:pPr>
    </w:p>
    <w:p w14:paraId="345BD96A" w14:textId="77777777" w:rsidR="0018325C" w:rsidRPr="00E32837" w:rsidRDefault="0018325C" w:rsidP="004864FD">
      <w:pPr>
        <w:pStyle w:val="5-POINTSFORTSETFAIBLES"/>
        <w:spacing w:before="0"/>
        <w:rPr>
          <w:rFonts w:ascii="Verdana" w:hAnsi="Verdana"/>
          <w:sz w:val="16"/>
          <w:szCs w:val="16"/>
          <w:lang w:eastAsia="en-US"/>
        </w:rPr>
      </w:pPr>
    </w:p>
    <w:p w14:paraId="2EEB6693" w14:textId="0AE0EF53" w:rsidR="00FC657A" w:rsidRPr="004864FD" w:rsidRDefault="00FF230F" w:rsidP="00514F29">
      <w:pPr>
        <w:pStyle w:val="1-TITRE1"/>
        <w:rPr>
          <w:noProof w:val="0"/>
        </w:rPr>
      </w:pPr>
      <w:r w:rsidRPr="00FF230F">
        <w:rPr>
          <w:noProof w:val="0"/>
        </w:rPr>
        <w:t>DOMAINE 4</w:t>
      </w:r>
      <w:r>
        <w:rPr>
          <w:noProof w:val="0"/>
        </w:rPr>
        <w:t> :</w:t>
      </w:r>
      <w:r w:rsidR="00135B3E">
        <w:rPr>
          <w:noProof w:val="0"/>
        </w:rPr>
        <w:t xml:space="preserve"> LE PILOTAGE ET L</w:t>
      </w:r>
      <w:r w:rsidRPr="00FF230F">
        <w:rPr>
          <w:noProof w:val="0"/>
        </w:rPr>
        <w:t>’AMÉLIORATION CONTINUE DE LA FORMATION DOCTORALE</w:t>
      </w:r>
    </w:p>
    <w:p w14:paraId="41E57C28" w14:textId="311A8AB9" w:rsidR="00FF230F" w:rsidRDefault="009D2096" w:rsidP="00FF230F">
      <w:pPr>
        <w:pStyle w:val="2-TITRE2"/>
        <w:rPr>
          <w:w w:val="105"/>
        </w:rPr>
      </w:pPr>
      <w:r>
        <w:rPr>
          <w:w w:val="105"/>
        </w:rPr>
        <w:t>Référence 13 :</w:t>
      </w:r>
      <w:r w:rsidR="00FF230F" w:rsidRPr="00FF230F">
        <w:rPr>
          <w:w w:val="105"/>
        </w:rPr>
        <w:t xml:space="preserve"> La formation doctorale est soutenue et dynamisée par la politique de l’établissement en matière de ressources humaines et d’allocation des moyens.</w:t>
      </w:r>
    </w:p>
    <w:p w14:paraId="7B591DAF" w14:textId="77777777" w:rsidR="0018325C" w:rsidRPr="0018325C" w:rsidRDefault="0018325C" w:rsidP="0018325C">
      <w:pPr>
        <w:rPr>
          <w:rFonts w:ascii="Verdana" w:hAnsi="Verdana"/>
          <w:sz w:val="16"/>
          <w:szCs w:val="16"/>
        </w:rPr>
      </w:pPr>
    </w:p>
    <w:p w14:paraId="44CAE5E3" w14:textId="0282989C" w:rsidR="00E25EBE" w:rsidRDefault="00510147" w:rsidP="00E25EBE">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C1</w:t>
      </w:r>
      <w:r w:rsidR="00E25EBE" w:rsidRPr="00E25EBE">
        <w:rPr>
          <w:rFonts w:ascii="Century Gothic" w:hAnsi="Century Gothic"/>
          <w:lang w:eastAsia="en-US"/>
        </w:rPr>
        <w:t>. La politique de l’encadrement doctoral d</w:t>
      </w:r>
      <w:r w:rsidR="00F64681">
        <w:rPr>
          <w:rFonts w:ascii="Century Gothic" w:hAnsi="Century Gothic"/>
          <w:lang w:eastAsia="en-US"/>
        </w:rPr>
        <w:t>éfinie dans le périmètre de l’école doctorale</w:t>
      </w:r>
      <w:r w:rsidR="00E25EBE" w:rsidRPr="00E25EBE">
        <w:rPr>
          <w:rFonts w:ascii="Century Gothic" w:hAnsi="Century Gothic"/>
          <w:lang w:eastAsia="en-US"/>
        </w:rPr>
        <w:t xml:space="preserve"> répond à des critères clairs et partagés.</w:t>
      </w:r>
    </w:p>
    <w:p w14:paraId="2CACAEC1" w14:textId="00E08F57" w:rsidR="00E25EBE" w:rsidRPr="00510147" w:rsidRDefault="00510147" w:rsidP="00E25EBE">
      <w:pPr>
        <w:pStyle w:val="5-POINTSFORTSETFAIBLES"/>
        <w:numPr>
          <w:ilvl w:val="0"/>
          <w:numId w:val="40"/>
        </w:numPr>
        <w:spacing w:before="120"/>
        <w:ind w:left="851" w:hanging="284"/>
        <w:rPr>
          <w:rFonts w:ascii="Century Gothic" w:hAnsi="Century Gothic"/>
          <w:lang w:eastAsia="en-US"/>
        </w:rPr>
      </w:pPr>
      <w:r w:rsidRPr="00510147">
        <w:rPr>
          <w:rFonts w:ascii="Century Gothic" w:hAnsi="Century Gothic"/>
          <w:lang w:eastAsia="en-US"/>
        </w:rPr>
        <w:t>C2</w:t>
      </w:r>
      <w:r w:rsidR="00E25EBE" w:rsidRPr="00510147">
        <w:rPr>
          <w:rFonts w:ascii="Century Gothic" w:hAnsi="Century Gothic"/>
          <w:lang w:eastAsia="en-US"/>
        </w:rPr>
        <w:t>. La politique de ressources humaines de l’établissement</w:t>
      </w:r>
      <w:r>
        <w:rPr>
          <w:rFonts w:ascii="Century Gothic" w:hAnsi="Century Gothic"/>
          <w:lang w:eastAsia="en-US"/>
        </w:rPr>
        <w:t>, en matière de recrutement, de promotion et de reconnaissance des activités,</w:t>
      </w:r>
      <w:r w:rsidR="00E25EBE" w:rsidRPr="00510147">
        <w:rPr>
          <w:rFonts w:ascii="Century Gothic" w:hAnsi="Century Gothic"/>
          <w:lang w:eastAsia="en-US"/>
        </w:rPr>
        <w:t xml:space="preserve"> tient compte des besoins de la formation doctorale et contribue à dynamiser celle-ci. </w:t>
      </w:r>
    </w:p>
    <w:p w14:paraId="1B18C9B7" w14:textId="36D0F5A8" w:rsidR="00E25EBE" w:rsidRPr="00A82D8F" w:rsidRDefault="00510147" w:rsidP="00510147">
      <w:pPr>
        <w:pStyle w:val="5-POINTSFORTSETFAIBLES"/>
        <w:numPr>
          <w:ilvl w:val="0"/>
          <w:numId w:val="40"/>
        </w:numPr>
        <w:spacing w:before="120"/>
        <w:ind w:left="851" w:hanging="284"/>
        <w:rPr>
          <w:rFonts w:ascii="Century Gothic" w:hAnsi="Century Gothic"/>
          <w:lang w:eastAsia="en-US"/>
        </w:rPr>
      </w:pPr>
      <w:r w:rsidRPr="00510147">
        <w:rPr>
          <w:rFonts w:ascii="Century Gothic" w:hAnsi="Century Gothic"/>
          <w:lang w:eastAsia="en-US"/>
        </w:rPr>
        <w:t>C3</w:t>
      </w:r>
      <w:r w:rsidR="00E25EBE" w:rsidRPr="00510147">
        <w:rPr>
          <w:rFonts w:ascii="Century Gothic" w:hAnsi="Century Gothic"/>
          <w:lang w:eastAsia="en-US"/>
        </w:rPr>
        <w:t xml:space="preserve">. </w:t>
      </w:r>
      <w:r w:rsidRPr="00510147">
        <w:rPr>
          <w:rFonts w:ascii="Century Gothic" w:hAnsi="Century Gothic"/>
          <w:lang w:eastAsia="en-US"/>
        </w:rPr>
        <w:t>Les encadrants associés à l’école doctorale et les personnels d’appui de celle-ci bénéficient de</w:t>
      </w:r>
      <w:r>
        <w:rPr>
          <w:rFonts w:ascii="Century Gothic" w:hAnsi="Century Gothic"/>
          <w:lang w:eastAsia="en-US"/>
        </w:rPr>
        <w:t xml:space="preserve"> l</w:t>
      </w:r>
      <w:r w:rsidR="00E25EBE" w:rsidRPr="00A82D8F">
        <w:rPr>
          <w:rFonts w:ascii="Century Gothic" w:hAnsi="Century Gothic"/>
          <w:lang w:eastAsia="en-US"/>
        </w:rPr>
        <w:t xml:space="preserve">a politique d’incitation et de soutien à la mobilité entrante et sortante </w:t>
      </w:r>
      <w:r>
        <w:rPr>
          <w:rFonts w:ascii="Century Gothic" w:hAnsi="Century Gothic"/>
          <w:lang w:eastAsia="en-US"/>
        </w:rPr>
        <w:t>de l’établissement, qui</w:t>
      </w:r>
      <w:r w:rsidR="00A80B2A">
        <w:rPr>
          <w:rFonts w:ascii="Century Gothic" w:hAnsi="Century Gothic"/>
          <w:lang w:eastAsia="en-US"/>
        </w:rPr>
        <w:t xml:space="preserve"> </w:t>
      </w:r>
      <w:r>
        <w:rPr>
          <w:rFonts w:ascii="Century Gothic" w:hAnsi="Century Gothic"/>
          <w:lang w:eastAsia="en-US"/>
        </w:rPr>
        <w:t>contribue</w:t>
      </w:r>
      <w:r w:rsidR="00E25EBE" w:rsidRPr="00A82D8F">
        <w:rPr>
          <w:rFonts w:ascii="Century Gothic" w:hAnsi="Century Gothic"/>
          <w:lang w:eastAsia="en-US"/>
        </w:rPr>
        <w:t xml:space="preserve"> à l’internationalisation de la formation doctorale.</w:t>
      </w:r>
    </w:p>
    <w:p w14:paraId="3251F092" w14:textId="04D8C58D" w:rsidR="00E25EBE" w:rsidRPr="00A82D8F" w:rsidRDefault="00510147" w:rsidP="00A80B2A">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C4</w:t>
      </w:r>
      <w:r w:rsidR="00E25EBE" w:rsidRPr="00A82D8F">
        <w:rPr>
          <w:rFonts w:ascii="Century Gothic" w:hAnsi="Century Gothic"/>
          <w:lang w:eastAsia="en-US"/>
        </w:rPr>
        <w:t xml:space="preserve">. La politique de soutien, d’accompagnement et de formation des </w:t>
      </w:r>
      <w:r w:rsidR="00A80B2A">
        <w:rPr>
          <w:rFonts w:ascii="Century Gothic" w:hAnsi="Century Gothic"/>
          <w:lang w:eastAsia="en-US"/>
        </w:rPr>
        <w:t xml:space="preserve">encadrants </w:t>
      </w:r>
      <w:r w:rsidR="00F64681">
        <w:rPr>
          <w:rFonts w:ascii="Century Gothic" w:hAnsi="Century Gothic"/>
          <w:lang w:eastAsia="en-US"/>
        </w:rPr>
        <w:t>associés à l’école doctorale</w:t>
      </w:r>
      <w:r w:rsidR="00E25EBE" w:rsidRPr="00A82D8F">
        <w:rPr>
          <w:rFonts w:ascii="Century Gothic" w:hAnsi="Century Gothic"/>
          <w:lang w:eastAsia="en-US"/>
        </w:rPr>
        <w:t xml:space="preserve"> bénéficie à la qualité de la formation doctorale et de l’encadrement doctora</w:t>
      </w:r>
      <w:r w:rsidR="00CE00BC" w:rsidRPr="00A82D8F">
        <w:rPr>
          <w:rFonts w:ascii="Century Gothic" w:hAnsi="Century Gothic"/>
          <w:lang w:eastAsia="en-US"/>
        </w:rPr>
        <w:t>l</w:t>
      </w:r>
      <w:r w:rsidR="00E25EBE" w:rsidRPr="00A82D8F">
        <w:rPr>
          <w:rFonts w:ascii="Century Gothic" w:hAnsi="Century Gothic"/>
          <w:lang w:eastAsia="en-US"/>
        </w:rPr>
        <w:t>.</w:t>
      </w:r>
    </w:p>
    <w:p w14:paraId="475C4201" w14:textId="120931CD" w:rsidR="00FF230F" w:rsidRDefault="00510147" w:rsidP="00CB5168">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C5</w:t>
      </w:r>
      <w:r w:rsidR="00E25EBE" w:rsidRPr="00A82D8F">
        <w:rPr>
          <w:rFonts w:ascii="Century Gothic" w:hAnsi="Century Gothic"/>
          <w:lang w:eastAsia="en-US"/>
        </w:rPr>
        <w:t>. La formation doctorale dispose de moyens financiers qu’elle suit et maîtrise au regard de ses</w:t>
      </w:r>
      <w:r w:rsidR="00E25EBE" w:rsidRPr="00E25EBE">
        <w:rPr>
          <w:rFonts w:ascii="Century Gothic" w:hAnsi="Century Gothic"/>
          <w:lang w:eastAsia="en-US"/>
        </w:rPr>
        <w:t xml:space="preserve"> objectifs et de ses résultats.</w:t>
      </w:r>
    </w:p>
    <w:p w14:paraId="05C8482A" w14:textId="77777777" w:rsidR="00CB5168" w:rsidRPr="0018325C" w:rsidRDefault="00CB5168" w:rsidP="00CB5168">
      <w:pPr>
        <w:pStyle w:val="5-POINTSFORTSETFAIBLES"/>
        <w:spacing w:before="0"/>
        <w:ind w:left="851"/>
        <w:rPr>
          <w:rFonts w:ascii="Verdana" w:hAnsi="Verdana"/>
          <w:sz w:val="16"/>
          <w:szCs w:val="16"/>
          <w:lang w:eastAsia="en-US"/>
        </w:rPr>
      </w:pPr>
    </w:p>
    <w:p w14:paraId="395D08E4" w14:textId="3FC584B0" w:rsidR="00FF230F" w:rsidRDefault="009D2096" w:rsidP="00FF230F">
      <w:pPr>
        <w:pStyle w:val="2-TITRE2"/>
        <w:rPr>
          <w:w w:val="105"/>
        </w:rPr>
      </w:pPr>
      <w:r>
        <w:rPr>
          <w:w w:val="105"/>
        </w:rPr>
        <w:t>Référence 14 :</w:t>
      </w:r>
      <w:r w:rsidR="00FF230F" w:rsidRPr="00FF230F">
        <w:rPr>
          <w:w w:val="105"/>
        </w:rPr>
        <w:t xml:space="preserve"> La formation doctorale s’appuie sur un processus d’évaluation interne et d’amélioration continue.</w:t>
      </w:r>
    </w:p>
    <w:p w14:paraId="666BD9B6" w14:textId="77777777" w:rsidR="0018325C" w:rsidRPr="0018325C" w:rsidRDefault="0018325C" w:rsidP="0018325C">
      <w:pPr>
        <w:rPr>
          <w:rFonts w:ascii="Verdana" w:hAnsi="Verdana"/>
          <w:sz w:val="16"/>
          <w:szCs w:val="16"/>
        </w:rPr>
      </w:pPr>
    </w:p>
    <w:p w14:paraId="711DAB1D" w14:textId="77777777" w:rsidR="005E0682" w:rsidRDefault="005E0682" w:rsidP="005E0682">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C1. L’é</w:t>
      </w:r>
      <w:r w:rsidRPr="005E0682">
        <w:rPr>
          <w:rFonts w:ascii="Century Gothic" w:hAnsi="Century Gothic"/>
          <w:lang w:eastAsia="en-US"/>
        </w:rPr>
        <w:t>cole doctorale organise l’évaluation de la formation doctorale par les doctorants.</w:t>
      </w:r>
    </w:p>
    <w:p w14:paraId="47C0265C" w14:textId="3C352559" w:rsidR="00FF230F" w:rsidRPr="005E0682" w:rsidRDefault="00F64681" w:rsidP="005E0682">
      <w:pPr>
        <w:pStyle w:val="5-POINTSFORTSETFAIBLES"/>
        <w:numPr>
          <w:ilvl w:val="0"/>
          <w:numId w:val="40"/>
        </w:numPr>
        <w:spacing w:before="120"/>
        <w:ind w:left="851" w:hanging="284"/>
        <w:rPr>
          <w:rFonts w:ascii="Century Gothic" w:hAnsi="Century Gothic"/>
          <w:lang w:eastAsia="en-US"/>
        </w:rPr>
      </w:pPr>
      <w:r>
        <w:rPr>
          <w:rFonts w:ascii="Century Gothic" w:hAnsi="Century Gothic"/>
          <w:lang w:eastAsia="en-US"/>
        </w:rPr>
        <w:t>C2. L’école doctorale</w:t>
      </w:r>
      <w:r w:rsidR="005E0682" w:rsidRPr="005E0682">
        <w:rPr>
          <w:rFonts w:ascii="Century Gothic" w:hAnsi="Century Gothic"/>
          <w:lang w:eastAsia="en-US"/>
        </w:rPr>
        <w:t xml:space="preserve"> analyse les résultats de l’évaluation de la formation doctorale et propose des ac</w:t>
      </w:r>
      <w:r>
        <w:rPr>
          <w:rFonts w:ascii="Century Gothic" w:hAnsi="Century Gothic"/>
          <w:lang w:eastAsia="en-US"/>
        </w:rPr>
        <w:t>tions correctives en vue de l’</w:t>
      </w:r>
      <w:r w:rsidR="005E0682" w:rsidRPr="005E0682">
        <w:rPr>
          <w:rFonts w:ascii="Century Gothic" w:hAnsi="Century Gothic"/>
          <w:lang w:eastAsia="en-US"/>
        </w:rPr>
        <w:t>évolution</w:t>
      </w:r>
      <w:r>
        <w:rPr>
          <w:rFonts w:ascii="Century Gothic" w:hAnsi="Century Gothic"/>
          <w:lang w:eastAsia="en-US"/>
        </w:rPr>
        <w:t xml:space="preserve"> de cette dernière, en s’appuyant sur son conseil</w:t>
      </w:r>
      <w:r w:rsidR="005E0682" w:rsidRPr="005E0682">
        <w:rPr>
          <w:rFonts w:ascii="Century Gothic" w:hAnsi="Century Gothic"/>
          <w:lang w:eastAsia="en-US"/>
        </w:rPr>
        <w:t>.</w:t>
      </w:r>
    </w:p>
    <w:p w14:paraId="36443CB9" w14:textId="7C7EA4FB" w:rsidR="00CB013C" w:rsidRDefault="00CB013C" w:rsidP="004864FD">
      <w:pPr>
        <w:pStyle w:val="5-POINTSFORTSETFAIBLES"/>
        <w:spacing w:before="0"/>
        <w:rPr>
          <w:rFonts w:ascii="Verdana" w:hAnsi="Verdana"/>
          <w:sz w:val="16"/>
          <w:szCs w:val="16"/>
          <w:lang w:eastAsia="en-US"/>
        </w:rPr>
      </w:pPr>
    </w:p>
    <w:p w14:paraId="218C2985" w14:textId="77777777" w:rsidR="0018325C" w:rsidRPr="0018325C" w:rsidRDefault="0018325C" w:rsidP="004864FD">
      <w:pPr>
        <w:pStyle w:val="5-POINTSFORTSETFAIBLES"/>
        <w:spacing w:before="0"/>
        <w:rPr>
          <w:rFonts w:ascii="Verdana" w:hAnsi="Verdana"/>
          <w:sz w:val="16"/>
          <w:szCs w:val="16"/>
          <w:lang w:eastAsia="en-US"/>
        </w:rPr>
      </w:pPr>
    </w:p>
    <w:p w14:paraId="1A9C9A02" w14:textId="287669B1" w:rsidR="00FF230F" w:rsidRDefault="00582E23" w:rsidP="00CB5168">
      <w:pPr>
        <w:pStyle w:val="1-TITRE1"/>
        <w:rPr>
          <w:noProof w:val="0"/>
        </w:rPr>
      </w:pPr>
      <w:r>
        <w:rPr>
          <w:noProof w:val="0"/>
        </w:rPr>
        <w:t xml:space="preserve">DOMAINE 5 : </w:t>
      </w:r>
      <w:r w:rsidR="00FF230F" w:rsidRPr="00FF230F">
        <w:rPr>
          <w:noProof w:val="0"/>
        </w:rPr>
        <w:t>LES ORIENTATIONS MAJEURES POUR LE PROCHAIN CONTRAT QUINQUENNAL</w:t>
      </w:r>
    </w:p>
    <w:p w14:paraId="25B57D2B" w14:textId="77777777" w:rsidR="0030081C" w:rsidRDefault="0030081C" w:rsidP="0030081C">
      <w:pPr>
        <w:pStyle w:val="5-POINTSFORTSETFAIBLES"/>
        <w:spacing w:before="120"/>
        <w:ind w:firstLine="709"/>
        <w:rPr>
          <w:rFonts w:ascii="Century Gothic" w:hAnsi="Century Gothic"/>
          <w:lang w:eastAsia="en-US"/>
        </w:rPr>
      </w:pPr>
      <w:r w:rsidRPr="00116B63">
        <w:rPr>
          <w:rFonts w:ascii="Century Gothic" w:hAnsi="Century Gothic"/>
          <w:lang w:eastAsia="en-US"/>
        </w:rPr>
        <w:t>Dans le cas où l’école doctorale envisage un changement structurel majeur (restructuration, scission, fusion, etc.), elle présente le ou les futurs périmètres scientifiques et propose une première vision des orientations politiques pour le prochain contrat quinquennal et des principales évolutions envisagées au cours de cette période.</w:t>
      </w:r>
    </w:p>
    <w:p w14:paraId="61C166A4" w14:textId="617D79C6" w:rsidR="0030081C" w:rsidRPr="0030081C" w:rsidRDefault="0030081C" w:rsidP="0030081C">
      <w:pPr>
        <w:pStyle w:val="5-POINTSFORTSETFAIBLES"/>
        <w:spacing w:before="120"/>
        <w:ind w:firstLine="709"/>
        <w:rPr>
          <w:rFonts w:ascii="Century Gothic" w:hAnsi="Century Gothic"/>
          <w:lang w:eastAsia="en-US"/>
        </w:rPr>
      </w:pPr>
      <w:r w:rsidRPr="00116B63">
        <w:rPr>
          <w:rFonts w:ascii="Century Gothic" w:hAnsi="Century Gothic"/>
          <w:lang w:eastAsia="en-US"/>
        </w:rPr>
        <w:t>S’ils n’ont pas été présentés dans les domaines précédents et en se fondant sur l’autoévaluation qu’elle a menée, elle précise notamment les objectifs et les actions majeures, qui sont prévus dans les prochaines années, dans le périmètre de ses compétences et pour les activités évoquées dans les différents domaines ci-dessus.</w:t>
      </w:r>
    </w:p>
    <w:p w14:paraId="50387BAB" w14:textId="705A23E0" w:rsidR="0030081C" w:rsidRDefault="0030081C" w:rsidP="0030081C"/>
    <w:p w14:paraId="4D1F41C2" w14:textId="77777777" w:rsidR="0030081C" w:rsidRPr="0030081C" w:rsidRDefault="0030081C" w:rsidP="0030081C"/>
    <w:p w14:paraId="0D41B70B" w14:textId="77777777" w:rsidR="00FF230F" w:rsidRDefault="00FF230F" w:rsidP="002219A0">
      <w:pPr>
        <w:pStyle w:val="5-POINTSFORTSETFAIBLES"/>
        <w:spacing w:before="120"/>
        <w:rPr>
          <w:rFonts w:ascii="Century Gothic" w:hAnsi="Century Gothic"/>
          <w:lang w:eastAsia="en-US"/>
        </w:rPr>
        <w:sectPr w:rsidR="00FF230F" w:rsidSect="00CD7C53">
          <w:headerReference w:type="even" r:id="rId11"/>
          <w:headerReference w:type="default" r:id="rId12"/>
          <w:footerReference w:type="default" r:id="rId13"/>
          <w:headerReference w:type="first" r:id="rId14"/>
          <w:pgSz w:w="11900" w:h="16840"/>
          <w:pgMar w:top="1520" w:right="1134" w:bottom="851" w:left="1134" w:header="709" w:footer="374" w:gutter="0"/>
          <w:cols w:space="708"/>
          <w:docGrid w:linePitch="326"/>
        </w:sectPr>
      </w:pPr>
    </w:p>
    <w:p w14:paraId="5613412E" w14:textId="084021FE" w:rsidR="002219A0" w:rsidRPr="00090D3E" w:rsidRDefault="002219A0" w:rsidP="002219A0">
      <w:pPr>
        <w:pStyle w:val="5-POINTSFORTSETFAIBLES"/>
        <w:spacing w:before="120"/>
        <w:rPr>
          <w:rFonts w:ascii="Century Gothic" w:hAnsi="Century Gothic"/>
          <w:lang w:eastAsia="en-US"/>
        </w:rPr>
      </w:pPr>
    </w:p>
    <w:sectPr w:rsidR="002219A0" w:rsidRPr="00090D3E" w:rsidSect="00CD7C53">
      <w:headerReference w:type="even" r:id="rId15"/>
      <w:headerReference w:type="default" r:id="rId16"/>
      <w:footerReference w:type="default" r:id="rId17"/>
      <w:headerReference w:type="first" r:id="rId18"/>
      <w:pgSz w:w="11900" w:h="16840"/>
      <w:pgMar w:top="1520" w:right="1134" w:bottom="851" w:left="1134" w:header="709" w:footer="37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CD32B" w14:textId="77777777" w:rsidR="00970C44" w:rsidRDefault="00970C44">
      <w:r>
        <w:separator/>
      </w:r>
    </w:p>
  </w:endnote>
  <w:endnote w:type="continuationSeparator" w:id="0">
    <w:p w14:paraId="5304C8BE" w14:textId="77777777" w:rsidR="00970C44" w:rsidRDefault="0097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762DE" w14:textId="77777777" w:rsidR="00E045DF" w:rsidRDefault="00E045DF" w:rsidP="00615D61">
    <w:pPr>
      <w:tabs>
        <w:tab w:val="center" w:pos="4536"/>
        <w:tab w:val="right" w:pos="9639"/>
      </w:tabs>
      <w:rPr>
        <w:rFonts w:eastAsia="MS Mincho"/>
        <w:i/>
        <w:sz w:val="16"/>
        <w:szCs w:val="16"/>
        <w:lang w:eastAsia="ja-JP"/>
      </w:rPr>
    </w:pPr>
  </w:p>
  <w:p w14:paraId="4E755D42" w14:textId="03EFF900" w:rsidR="00E045DF" w:rsidRPr="00BE7F87" w:rsidRDefault="00E045DF" w:rsidP="00615D61">
    <w:pPr>
      <w:tabs>
        <w:tab w:val="center" w:pos="4536"/>
        <w:tab w:val="right" w:pos="9639"/>
      </w:tabs>
      <w:rPr>
        <w:rFonts w:eastAsia="MS Mincho"/>
        <w:sz w:val="16"/>
        <w:szCs w:val="16"/>
        <w:lang w:eastAsia="ja-JP"/>
      </w:rPr>
    </w:pPr>
    <w:r w:rsidRPr="00C1623B">
      <w:rPr>
        <w:rFonts w:eastAsia="MS Mincho"/>
        <w:sz w:val="16"/>
        <w:szCs w:val="16"/>
        <w:lang w:val="x-none" w:eastAsia="ja-JP"/>
      </w:rPr>
      <w:t>Département d’évaluation d</w:t>
    </w:r>
    <w:r w:rsidRPr="00C1623B">
      <w:rPr>
        <w:rFonts w:eastAsia="MS Mincho"/>
        <w:sz w:val="16"/>
        <w:szCs w:val="16"/>
        <w:lang w:eastAsia="ja-JP"/>
      </w:rPr>
      <w:t>es formations</w:t>
    </w:r>
    <w:r w:rsidR="00BE7F87">
      <w:rPr>
        <w:rFonts w:eastAsia="MS Mincho"/>
        <w:sz w:val="16"/>
        <w:szCs w:val="16"/>
        <w:lang w:eastAsia="ja-JP"/>
      </w:rPr>
      <w:tab/>
    </w:r>
    <w:r w:rsidR="00BE7F87">
      <w:rPr>
        <w:rFonts w:eastAsia="MS Mincho"/>
        <w:sz w:val="16"/>
        <w:szCs w:val="16"/>
        <w:lang w:eastAsia="ja-JP"/>
      </w:rPr>
      <w:tab/>
    </w:r>
    <w:r w:rsidR="00BE7F87" w:rsidRPr="00C1623B">
      <w:rPr>
        <w:rFonts w:eastAsia="MS Mincho"/>
        <w:sz w:val="16"/>
        <w:szCs w:val="16"/>
        <w:lang w:eastAsia="ja-JP"/>
      </w:rPr>
      <w:t>C</w:t>
    </w:r>
    <w:r w:rsidR="00BE7F87">
      <w:rPr>
        <w:rFonts w:eastAsia="MS Mincho"/>
        <w:sz w:val="16"/>
        <w:szCs w:val="16"/>
        <w:lang w:val="x-none" w:eastAsia="ja-JP"/>
      </w:rPr>
      <w:t>ampagne d’évaluation 20</w:t>
    </w:r>
    <w:r w:rsidR="00BE7F87">
      <w:rPr>
        <w:rFonts w:eastAsia="MS Mincho"/>
        <w:sz w:val="16"/>
        <w:szCs w:val="16"/>
        <w:lang w:eastAsia="ja-JP"/>
      </w:rPr>
      <w:t>24-</w:t>
    </w:r>
    <w:r w:rsidR="00BE7F87">
      <w:rPr>
        <w:rFonts w:eastAsia="MS Mincho"/>
        <w:sz w:val="16"/>
        <w:szCs w:val="16"/>
        <w:lang w:val="x-none" w:eastAsia="ja-JP"/>
      </w:rPr>
      <w:t>20</w:t>
    </w:r>
    <w:r w:rsidR="00BE7F87">
      <w:rPr>
        <w:rFonts w:eastAsia="MS Mincho"/>
        <w:sz w:val="16"/>
        <w:szCs w:val="16"/>
        <w:lang w:eastAsia="ja-JP"/>
      </w:rPr>
      <w:t xml:space="preserve">25 – </w:t>
    </w:r>
    <w:r w:rsidR="00BE7F87">
      <w:rPr>
        <w:rFonts w:eastAsia="MS Mincho"/>
        <w:sz w:val="16"/>
        <w:szCs w:val="16"/>
        <w:lang w:val="x-none" w:eastAsia="ja-JP"/>
      </w:rPr>
      <w:t xml:space="preserve">Vague </w:t>
    </w:r>
    <w:r w:rsidR="00BE7F87">
      <w:rPr>
        <w:rFonts w:eastAsia="MS Mincho"/>
        <w:sz w:val="16"/>
        <w:szCs w:val="16"/>
        <w:lang w:eastAsia="ja-JP"/>
      </w:rPr>
      <w:t>E</w:t>
    </w:r>
  </w:p>
  <w:p w14:paraId="42004320" w14:textId="77777777" w:rsidR="00E045DF" w:rsidRPr="00615D61" w:rsidRDefault="00E045DF" w:rsidP="00A84959"/>
  <w:p w14:paraId="51C66FB9" w14:textId="4DA2DF87" w:rsidR="00E045DF" w:rsidRPr="00615D61" w:rsidRDefault="00E045DF" w:rsidP="000E384C">
    <w:pPr>
      <w:jc w:val="right"/>
    </w:pPr>
    <w:r w:rsidRPr="00615D61">
      <w:tab/>
    </w:r>
    <w:r w:rsidRPr="00615D61">
      <w:tab/>
    </w:r>
    <w:r w:rsidRPr="00615D61">
      <w:tab/>
    </w:r>
    <w:r w:rsidRPr="00615D61">
      <w:tab/>
    </w:r>
    <w:r w:rsidRPr="00615D61">
      <w:rPr>
        <w:rFonts w:eastAsia="MS Mincho"/>
        <w:i/>
        <w:sz w:val="16"/>
        <w:szCs w:val="16"/>
        <w:lang w:eastAsia="ja-JP"/>
      </w:rPr>
      <w:fldChar w:fldCharType="begin"/>
    </w:r>
    <w:r w:rsidRPr="00615D61">
      <w:rPr>
        <w:rFonts w:eastAsia="MS Mincho"/>
        <w:i/>
        <w:sz w:val="16"/>
        <w:szCs w:val="16"/>
        <w:lang w:eastAsia="ja-JP"/>
      </w:rPr>
      <w:instrText>PAGE   \* MERGEFORMAT</w:instrText>
    </w:r>
    <w:r w:rsidRPr="00615D61">
      <w:rPr>
        <w:rFonts w:eastAsia="MS Mincho"/>
        <w:i/>
        <w:sz w:val="16"/>
        <w:szCs w:val="16"/>
        <w:lang w:eastAsia="ja-JP"/>
      </w:rPr>
      <w:fldChar w:fldCharType="separate"/>
    </w:r>
    <w:r>
      <w:rPr>
        <w:rFonts w:eastAsia="MS Mincho"/>
        <w:i/>
        <w:noProof/>
        <w:sz w:val="16"/>
        <w:szCs w:val="16"/>
        <w:lang w:eastAsia="ja-JP"/>
      </w:rPr>
      <w:t>2</w:t>
    </w:r>
    <w:r w:rsidRPr="00615D61">
      <w:rPr>
        <w:rFonts w:eastAsia="MS Mincho"/>
        <w:i/>
        <w:sz w:val="16"/>
        <w:szCs w:val="16"/>
        <w:lang w:eastAsia="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8C590" w14:textId="77777777" w:rsidR="009D2096" w:rsidRDefault="009D2096" w:rsidP="00DC14E9">
    <w:pPr>
      <w:tabs>
        <w:tab w:val="center" w:pos="4536"/>
        <w:tab w:val="right" w:pos="9639"/>
      </w:tabs>
      <w:ind w:left="0" w:right="1"/>
      <w:jc w:val="left"/>
      <w:rPr>
        <w:sz w:val="14"/>
        <w:szCs w:val="14"/>
      </w:rPr>
    </w:pPr>
  </w:p>
  <w:p w14:paraId="314D6A04" w14:textId="077C04BC" w:rsidR="00152848" w:rsidRDefault="00DC14E9" w:rsidP="00DC14E9">
    <w:pPr>
      <w:tabs>
        <w:tab w:val="center" w:pos="4536"/>
        <w:tab w:val="right" w:pos="9639"/>
      </w:tabs>
      <w:ind w:left="0" w:right="1"/>
      <w:jc w:val="left"/>
      <w:rPr>
        <w:sz w:val="14"/>
        <w:szCs w:val="14"/>
      </w:rPr>
    </w:pPr>
    <w:r w:rsidRPr="00152848">
      <w:rPr>
        <w:sz w:val="14"/>
        <w:szCs w:val="14"/>
      </w:rPr>
      <w:t>Départem</w:t>
    </w:r>
    <w:r>
      <w:rPr>
        <w:sz w:val="14"/>
        <w:szCs w:val="14"/>
      </w:rPr>
      <w:t>ent d’évaluation des formations</w:t>
    </w:r>
    <w:r>
      <w:rPr>
        <w:sz w:val="14"/>
        <w:szCs w:val="14"/>
      </w:rPr>
      <w:tab/>
      <w:t xml:space="preserve">                                                                                            </w:t>
    </w:r>
    <w:r w:rsidR="007056AC">
      <w:rPr>
        <w:sz w:val="14"/>
        <w:szCs w:val="14"/>
      </w:rPr>
      <w:t>Campagne d’évaluation</w:t>
    </w:r>
    <w:r w:rsidR="008604F8">
      <w:rPr>
        <w:sz w:val="14"/>
        <w:szCs w:val="14"/>
      </w:rPr>
      <w:t xml:space="preserve"> 202</w:t>
    </w:r>
    <w:r w:rsidR="009D2096">
      <w:rPr>
        <w:sz w:val="14"/>
        <w:szCs w:val="14"/>
      </w:rPr>
      <w:t>4-2025</w:t>
    </w:r>
    <w:r w:rsidR="000F1604">
      <w:rPr>
        <w:sz w:val="14"/>
        <w:szCs w:val="14"/>
      </w:rPr>
      <w:t xml:space="preserve"> – </w:t>
    </w:r>
    <w:r w:rsidR="009D2096">
      <w:rPr>
        <w:sz w:val="14"/>
        <w:szCs w:val="14"/>
      </w:rPr>
      <w:t>Vague E</w:t>
    </w:r>
  </w:p>
  <w:p w14:paraId="7589D58C" w14:textId="77777777" w:rsidR="00152848" w:rsidRPr="00152848" w:rsidRDefault="00152848" w:rsidP="00152848">
    <w:pPr>
      <w:tabs>
        <w:tab w:val="center" w:pos="4536"/>
        <w:tab w:val="right" w:pos="9639"/>
      </w:tabs>
      <w:ind w:left="0" w:right="1"/>
      <w:jc w:val="left"/>
      <w:rPr>
        <w:sz w:val="14"/>
        <w:szCs w:val="14"/>
      </w:rPr>
    </w:pPr>
  </w:p>
  <w:p w14:paraId="00221184" w14:textId="5AA18362" w:rsidR="00E045DF" w:rsidRPr="00CD7C53" w:rsidRDefault="00E045DF" w:rsidP="00152848">
    <w:pPr>
      <w:pStyle w:val="Pieddepage"/>
      <w:rPr>
        <w:sz w:val="18"/>
      </w:rPr>
    </w:pPr>
    <w:r>
      <w:tab/>
    </w:r>
    <w:r>
      <w:tab/>
    </w:r>
    <w:r>
      <w:tab/>
    </w:r>
    <w:r>
      <w:tab/>
    </w:r>
    <w:r>
      <w:tab/>
    </w:r>
    <w:r>
      <w:tab/>
    </w:r>
    <w:sdt>
      <w:sdtPr>
        <w:id w:val="-1553760774"/>
        <w:docPartObj>
          <w:docPartGallery w:val="Page Numbers (Bottom of Page)"/>
          <w:docPartUnique/>
        </w:docPartObj>
      </w:sdtPr>
      <w:sdtEndPr/>
      <w:sdtContent>
        <w:r w:rsidR="00152848">
          <w:tab/>
        </w:r>
        <w:r>
          <w:fldChar w:fldCharType="begin"/>
        </w:r>
        <w:r>
          <w:instrText>PAGE   \* MERGEFORMAT</w:instrText>
        </w:r>
        <w:r>
          <w:fldChar w:fldCharType="separate"/>
        </w:r>
        <w:r w:rsidR="004D246E">
          <w:rPr>
            <w:noProof/>
          </w:rPr>
          <w:t>2</w:t>
        </w:r>
        <w:r>
          <w:fldChar w:fldCharType="end"/>
        </w:r>
      </w:sdtContent>
    </w:sdt>
  </w:p>
  <w:p w14:paraId="64987DA3" w14:textId="77777777" w:rsidR="002557D4" w:rsidRDefault="002557D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B81FF" w14:textId="6A4578F8" w:rsidR="004E486D" w:rsidRPr="00CD7C53" w:rsidRDefault="004D246E" w:rsidP="00152848">
    <w:pPr>
      <w:pStyle w:val="Pieddepage"/>
      <w:rPr>
        <w:sz w:val="18"/>
      </w:rPr>
    </w:pPr>
    <w:r w:rsidRPr="004E486D">
      <w:rPr>
        <w:noProof/>
        <w:lang w:eastAsia="fr-FR"/>
      </w:rPr>
      <w:drawing>
        <wp:anchor distT="0" distB="0" distL="114300" distR="114300" simplePos="0" relativeHeight="251683840" behindDoc="1" locked="0" layoutInCell="1" allowOverlap="1" wp14:anchorId="022EE35C" wp14:editId="648EBA23">
          <wp:simplePos x="0" y="0"/>
          <wp:positionH relativeFrom="column">
            <wp:posOffset>-567690</wp:posOffset>
          </wp:positionH>
          <wp:positionV relativeFrom="paragraph">
            <wp:posOffset>-2210435</wp:posOffset>
          </wp:positionV>
          <wp:extent cx="1800860" cy="1800860"/>
          <wp:effectExtent l="0" t="0" r="0" b="0"/>
          <wp:wrapThrough wrapText="bothSides">
            <wp:wrapPolygon edited="0">
              <wp:start x="10282" y="1371"/>
              <wp:lineTo x="7769" y="2056"/>
              <wp:lineTo x="3427" y="4570"/>
              <wp:lineTo x="3427" y="5484"/>
              <wp:lineTo x="2056" y="9140"/>
              <wp:lineTo x="2513" y="13481"/>
              <wp:lineTo x="3427" y="17137"/>
              <wp:lineTo x="8226" y="19422"/>
              <wp:lineTo x="9597" y="19879"/>
              <wp:lineTo x="11425" y="19879"/>
              <wp:lineTo x="12795" y="19422"/>
              <wp:lineTo x="17822" y="17137"/>
              <wp:lineTo x="19193" y="12795"/>
              <wp:lineTo x="19422" y="9825"/>
              <wp:lineTo x="19422" y="9140"/>
              <wp:lineTo x="18508" y="6626"/>
              <wp:lineTo x="18051" y="4798"/>
              <wp:lineTo x="14166" y="2285"/>
              <wp:lineTo x="11882" y="1371"/>
              <wp:lineTo x="10282" y="1371"/>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14:sizeRelH relativeFrom="page">
            <wp14:pctWidth>0</wp14:pctWidth>
          </wp14:sizeRelH>
          <wp14:sizeRelV relativeFrom="page">
            <wp14:pctHeight>0</wp14:pctHeight>
          </wp14:sizeRelV>
        </wp:anchor>
      </w:drawing>
    </w:r>
    <w:r w:rsidR="004E486D" w:rsidRPr="004E486D">
      <w:rPr>
        <w:noProof/>
        <w:lang w:eastAsia="fr-FR"/>
      </w:rPr>
      <w:drawing>
        <wp:anchor distT="0" distB="0" distL="114300" distR="114300" simplePos="0" relativeHeight="251682816" behindDoc="1" locked="0" layoutInCell="1" allowOverlap="1" wp14:anchorId="5A3FCBA7" wp14:editId="063EA30E">
          <wp:simplePos x="0" y="0"/>
          <wp:positionH relativeFrom="column">
            <wp:posOffset>-720090</wp:posOffset>
          </wp:positionH>
          <wp:positionV relativeFrom="paragraph">
            <wp:posOffset>-494665</wp:posOffset>
          </wp:positionV>
          <wp:extent cx="7559675" cy="972185"/>
          <wp:effectExtent l="0" t="0" r="3175" b="0"/>
          <wp:wrapThrough wrapText="bothSides">
            <wp:wrapPolygon edited="0">
              <wp:start x="0" y="0"/>
              <wp:lineTo x="0" y="21163"/>
              <wp:lineTo x="21555" y="21163"/>
              <wp:lineTo x="21555"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bloc adresse entete FR.jpg"/>
                  <pic:cNvPicPr/>
                </pic:nvPicPr>
                <pic:blipFill>
                  <a:blip r:embed="rId2">
                    <a:extLst>
                      <a:ext uri="{28A0092B-C50C-407E-A947-70E740481C1C}">
                        <a14:useLocalDpi xmlns:a14="http://schemas.microsoft.com/office/drawing/2010/main" val="0"/>
                      </a:ext>
                    </a:extLst>
                  </a:blip>
                  <a:stretch>
                    <a:fillRect/>
                  </a:stretch>
                </pic:blipFill>
                <pic:spPr>
                  <a:xfrm>
                    <a:off x="0" y="0"/>
                    <a:ext cx="7559675" cy="972185"/>
                  </a:xfrm>
                  <a:prstGeom prst="rect">
                    <a:avLst/>
                  </a:prstGeom>
                </pic:spPr>
              </pic:pic>
            </a:graphicData>
          </a:graphic>
          <wp14:sizeRelH relativeFrom="page">
            <wp14:pctWidth>0</wp14:pctWidth>
          </wp14:sizeRelH>
          <wp14:sizeRelV relativeFrom="page">
            <wp14:pctHeight>0</wp14:pctHeight>
          </wp14:sizeRelV>
        </wp:anchor>
      </w:drawing>
    </w:r>
    <w:r w:rsidR="004E486D">
      <w:tab/>
    </w:r>
    <w:r w:rsidR="004E486D">
      <w:tab/>
    </w:r>
    <w:r w:rsidR="004E486D">
      <w:tab/>
    </w:r>
    <w:r w:rsidR="004E486D">
      <w:tab/>
    </w:r>
    <w:r w:rsidR="004E486D">
      <w:tab/>
    </w:r>
    <w:r w:rsidR="004E486D">
      <w:tab/>
    </w:r>
    <w:r w:rsidR="004E486D">
      <w:tab/>
    </w:r>
    <w:r w:rsidR="004E486D">
      <w:tab/>
    </w:r>
  </w:p>
  <w:p w14:paraId="0906F26D" w14:textId="77777777" w:rsidR="004E486D" w:rsidRDefault="004E48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E5D63" w14:textId="77777777" w:rsidR="00970C44" w:rsidRDefault="00970C44">
      <w:r>
        <w:separator/>
      </w:r>
    </w:p>
  </w:footnote>
  <w:footnote w:type="continuationSeparator" w:id="0">
    <w:p w14:paraId="022B9418" w14:textId="77777777" w:rsidR="00970C44" w:rsidRDefault="0097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C9DF2" w14:textId="2876A861" w:rsidR="00E045DF" w:rsidRPr="00C1623B" w:rsidRDefault="00E045DF" w:rsidP="006A4F95">
    <w:pPr>
      <w:tabs>
        <w:tab w:val="center" w:pos="4536"/>
        <w:tab w:val="right" w:pos="9639"/>
      </w:tabs>
      <w:ind w:left="0"/>
      <w:rPr>
        <w:rFonts w:eastAsia="MS Mincho"/>
        <w:sz w:val="16"/>
        <w:szCs w:val="16"/>
        <w:lang w:eastAsia="ja-JP"/>
      </w:rPr>
    </w:pPr>
    <w:r>
      <w:rPr>
        <w:noProof/>
        <w:lang w:eastAsia="fr-FR"/>
      </w:rPr>
      <w:drawing>
        <wp:anchor distT="0" distB="0" distL="114300" distR="114300" simplePos="0" relativeHeight="251670528" behindDoc="1" locked="0" layoutInCell="1" allowOverlap="1" wp14:anchorId="084835F5" wp14:editId="27859FF5">
          <wp:simplePos x="0" y="0"/>
          <wp:positionH relativeFrom="column">
            <wp:posOffset>-777240</wp:posOffset>
          </wp:positionH>
          <wp:positionV relativeFrom="paragraph">
            <wp:posOffset>-412115</wp:posOffset>
          </wp:positionV>
          <wp:extent cx="1800225" cy="1047750"/>
          <wp:effectExtent l="0" t="0" r="9525" b="0"/>
          <wp:wrapTopAndBottom/>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Suite FR.jpg"/>
                  <pic:cNvPicPr/>
                </pic:nvPicPr>
                <pic:blipFill rotWithShape="1">
                  <a:blip r:embed="rId1">
                    <a:extLst>
                      <a:ext uri="{28A0092B-C50C-407E-A947-70E740481C1C}">
                        <a14:useLocalDpi xmlns:a14="http://schemas.microsoft.com/office/drawing/2010/main" val="0"/>
                      </a:ext>
                    </a:extLst>
                  </a:blip>
                  <a:srcRect t="23280" b="18519"/>
                  <a:stretch/>
                </pic:blipFill>
                <pic:spPr bwMode="auto">
                  <a:xfrm>
                    <a:off x="0" y="0"/>
                    <a:ext cx="1800225" cy="10477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250A8E" w14:textId="77777777" w:rsidR="00E045DF" w:rsidRDefault="00E045DF" w:rsidP="00CD0A7C">
    <w:pPr>
      <w:tabs>
        <w:tab w:val="center" w:pos="4536"/>
        <w:tab w:val="right" w:pos="9639"/>
      </w:tabs>
      <w:ind w:firstLine="709"/>
      <w:rPr>
        <w:rFonts w:eastAsia="MS Mincho"/>
        <w:i/>
        <w:sz w:val="16"/>
        <w:szCs w:val="16"/>
        <w:lang w:eastAsia="ja-JP"/>
      </w:rPr>
    </w:pPr>
  </w:p>
  <w:p w14:paraId="261294F9" w14:textId="77777777" w:rsidR="00E045DF" w:rsidRDefault="00E045DF" w:rsidP="00CD0A7C">
    <w:pPr>
      <w:tabs>
        <w:tab w:val="center" w:pos="4536"/>
        <w:tab w:val="right" w:pos="9639"/>
      </w:tabs>
      <w:ind w:firstLine="709"/>
      <w:rPr>
        <w:rFonts w:eastAsia="MS Mincho"/>
        <w:i/>
        <w:sz w:val="16"/>
        <w:szCs w:val="16"/>
        <w:lang w:eastAsia="ja-JP"/>
      </w:rPr>
    </w:pPr>
  </w:p>
  <w:p w14:paraId="31E9CE74" w14:textId="77777777" w:rsidR="00E045DF" w:rsidRDefault="00E045DF" w:rsidP="00CD0A7C">
    <w:pPr>
      <w:tabs>
        <w:tab w:val="center" w:pos="4536"/>
        <w:tab w:val="right" w:pos="9639"/>
      </w:tabs>
      <w:ind w:firstLine="709"/>
      <w:rPr>
        <w:rFonts w:eastAsia="MS Mincho"/>
        <w:i/>
        <w:sz w:val="16"/>
        <w:szCs w:val="16"/>
        <w:lang w:eastAsia="ja-JP"/>
      </w:rPr>
    </w:pPr>
  </w:p>
  <w:p w14:paraId="56A90BDD" w14:textId="77777777" w:rsidR="00E045DF" w:rsidRDefault="00E045DF" w:rsidP="00CD0A7C">
    <w:pPr>
      <w:tabs>
        <w:tab w:val="center" w:pos="4536"/>
        <w:tab w:val="right" w:pos="9639"/>
      </w:tabs>
      <w:ind w:firstLine="709"/>
      <w:rPr>
        <w:rFonts w:eastAsia="MS Mincho"/>
        <w:i/>
        <w:sz w:val="16"/>
        <w:szCs w:val="16"/>
        <w:lang w:eastAsia="ja-JP"/>
      </w:rPr>
    </w:pPr>
  </w:p>
  <w:p w14:paraId="71A2023E" w14:textId="77777777" w:rsidR="00E045DF" w:rsidRDefault="00E045DF" w:rsidP="00CD0A7C">
    <w:pPr>
      <w:tabs>
        <w:tab w:val="center" w:pos="4536"/>
        <w:tab w:val="right" w:pos="9639"/>
      </w:tabs>
      <w:ind w:firstLine="709"/>
      <w:rPr>
        <w:rFonts w:eastAsia="MS Mincho"/>
        <w:i/>
        <w:sz w:val="16"/>
        <w:szCs w:val="16"/>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ED033" w14:textId="0B135DC1" w:rsidR="00E045DF" w:rsidRDefault="004D246E">
    <w:r>
      <w:rPr>
        <w:noProof/>
        <w:lang w:eastAsia="fr-FR"/>
      </w:rPr>
      <w:drawing>
        <wp:anchor distT="0" distB="0" distL="114300" distR="114300" simplePos="0" relativeHeight="251671552" behindDoc="1" locked="0" layoutInCell="1" allowOverlap="1" wp14:anchorId="57613657" wp14:editId="206F52D4">
          <wp:simplePos x="0" y="0"/>
          <wp:positionH relativeFrom="column">
            <wp:posOffset>-720090</wp:posOffset>
          </wp:positionH>
          <wp:positionV relativeFrom="paragraph">
            <wp:posOffset>-450215</wp:posOffset>
          </wp:positionV>
          <wp:extent cx="1800860" cy="1800860"/>
          <wp:effectExtent l="0" t="0" r="0" b="0"/>
          <wp:wrapThrough wrapText="bothSides">
            <wp:wrapPolygon edited="0">
              <wp:start x="10282" y="1371"/>
              <wp:lineTo x="7769" y="2056"/>
              <wp:lineTo x="3427" y="4570"/>
              <wp:lineTo x="3427" y="5484"/>
              <wp:lineTo x="2056" y="9140"/>
              <wp:lineTo x="2513" y="13481"/>
              <wp:lineTo x="3427" y="17137"/>
              <wp:lineTo x="8226" y="19422"/>
              <wp:lineTo x="9597" y="19879"/>
              <wp:lineTo x="11425" y="19879"/>
              <wp:lineTo x="12795" y="19422"/>
              <wp:lineTo x="17822" y="17137"/>
              <wp:lineTo x="19193" y="12795"/>
              <wp:lineTo x="19422" y="9825"/>
              <wp:lineTo x="19422" y="9140"/>
              <wp:lineTo x="18508" y="6626"/>
              <wp:lineTo x="18051" y="4798"/>
              <wp:lineTo x="14166" y="2285"/>
              <wp:lineTo x="11882" y="1371"/>
              <wp:lineTo x="10282" y="1371"/>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14:sizeRelH relativeFrom="page">
            <wp14:pctWidth>0</wp14:pctWidth>
          </wp14:sizeRelH>
          <wp14:sizeRelV relativeFrom="page">
            <wp14:pctHeight>0</wp14:pctHeight>
          </wp14:sizeRelV>
        </wp:anchor>
      </w:drawing>
    </w:r>
    <w:r w:rsidR="00E045DF">
      <w:rPr>
        <w:noProof/>
        <w:lang w:eastAsia="fr-FR"/>
      </w:rPr>
      <w:drawing>
        <wp:anchor distT="0" distB="0" distL="114300" distR="114300" simplePos="0" relativeHeight="251678720" behindDoc="1" locked="0" layoutInCell="1" allowOverlap="1" wp14:anchorId="751D3A82" wp14:editId="5A1A4064">
          <wp:simplePos x="0" y="0"/>
          <wp:positionH relativeFrom="column">
            <wp:posOffset>989330</wp:posOffset>
          </wp:positionH>
          <wp:positionV relativeFrom="paragraph">
            <wp:posOffset>2149475</wp:posOffset>
          </wp:positionV>
          <wp:extent cx="5830570" cy="8098155"/>
          <wp:effectExtent l="0" t="0" r="0" b="0"/>
          <wp:wrapThrough wrapText="bothSides">
            <wp:wrapPolygon edited="0">
              <wp:start x="0" y="0"/>
              <wp:lineTo x="0" y="21544"/>
              <wp:lineTo x="21525" y="21544"/>
              <wp:lineTo x="2152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Couv Référentiel.jpg"/>
                  <pic:cNvPicPr/>
                </pic:nvPicPr>
                <pic:blipFill>
                  <a:blip r:embed="rId2">
                    <a:extLst>
                      <a:ext uri="{28A0092B-C50C-407E-A947-70E740481C1C}">
                        <a14:useLocalDpi xmlns:a14="http://schemas.microsoft.com/office/drawing/2010/main" val="0"/>
                      </a:ext>
                    </a:extLst>
                  </a:blip>
                  <a:stretch>
                    <a:fillRect/>
                  </a:stretch>
                </pic:blipFill>
                <pic:spPr>
                  <a:xfrm>
                    <a:off x="0" y="0"/>
                    <a:ext cx="5830570" cy="8098155"/>
                  </a:xfrm>
                  <a:prstGeom prst="rect">
                    <a:avLst/>
                  </a:prstGeom>
                </pic:spPr>
              </pic:pic>
            </a:graphicData>
          </a:graphic>
          <wp14:sizeRelH relativeFrom="page">
            <wp14:pctWidth>0</wp14:pctWidth>
          </wp14:sizeRelH>
          <wp14:sizeRelV relativeFrom="page">
            <wp14:pctHeight>0</wp14:pctHeight>
          </wp14:sizeRelV>
        </wp:anchor>
      </w:drawing>
    </w:r>
    <w:r w:rsidR="00E045DF">
      <w:rPr>
        <w:noProof/>
        <w:lang w:eastAsia="fr-FR"/>
      </w:rPr>
      <mc:AlternateContent>
        <mc:Choice Requires="wps">
          <w:drawing>
            <wp:anchor distT="0" distB="0" distL="114300" distR="114300" simplePos="0" relativeHeight="251673600" behindDoc="0" locked="0" layoutInCell="1" allowOverlap="1" wp14:anchorId="04DA4893" wp14:editId="3A8D1857">
              <wp:simplePos x="0" y="0"/>
              <wp:positionH relativeFrom="page">
                <wp:posOffset>1910080</wp:posOffset>
              </wp:positionH>
              <wp:positionV relativeFrom="paragraph">
                <wp:posOffset>490855</wp:posOffset>
              </wp:positionV>
              <wp:extent cx="1853565" cy="490855"/>
              <wp:effectExtent l="0" t="0" r="0"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490855"/>
                      </a:xfrm>
                      <a:prstGeom prst="rect">
                        <a:avLst/>
                      </a:prstGeom>
                      <a:solidFill>
                        <a:srgbClr val="FFFFFF"/>
                      </a:solidFill>
                      <a:ln w="9525">
                        <a:noFill/>
                        <a:miter lim="800000"/>
                        <a:headEnd/>
                        <a:tailEnd/>
                      </a:ln>
                    </wps:spPr>
                    <wps:txbx>
                      <w:txbxContent>
                        <w:p w14:paraId="0599310E" w14:textId="7079FBCB" w:rsidR="00E045DF" w:rsidRPr="00C943D6" w:rsidRDefault="00E045DF" w:rsidP="00C220FB">
                          <w:pPr>
                            <w:ind w:left="0"/>
                            <w:rPr>
                              <w:b/>
                              <w:color w:val="ED145B"/>
                              <w:sz w:val="22"/>
                              <w:szCs w:val="22"/>
                            </w:rPr>
                          </w:pPr>
                          <w:r w:rsidRPr="00C943D6">
                            <w:rPr>
                              <w:b/>
                              <w:color w:val="ED145B"/>
                              <w:sz w:val="22"/>
                              <w:szCs w:val="22"/>
                            </w:rPr>
                            <w:t xml:space="preserve">Département d’évaluation </w:t>
                          </w:r>
                        </w:p>
                        <w:p w14:paraId="7B791DD2" w14:textId="7443BC71" w:rsidR="00E045DF" w:rsidRPr="00C943D6" w:rsidRDefault="00720D1F" w:rsidP="00C220FB">
                          <w:pPr>
                            <w:ind w:left="0"/>
                            <w:rPr>
                              <w:b/>
                              <w:color w:val="ED145B"/>
                              <w:sz w:val="22"/>
                              <w:szCs w:val="22"/>
                            </w:rPr>
                          </w:pPr>
                          <w:r>
                            <w:rPr>
                              <w:b/>
                              <w:color w:val="ED145B"/>
                              <w:sz w:val="22"/>
                              <w:szCs w:val="22"/>
                            </w:rPr>
                            <w:t>Des formation</w:t>
                          </w:r>
                          <w:r w:rsidR="00E045DF" w:rsidRPr="00C943D6">
                            <w:rPr>
                              <w:b/>
                              <w:color w:val="ED145B"/>
                              <w:sz w:val="22"/>
                              <w:szCs w:val="22"/>
                            </w:rPr>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A4893" id="_x0000_t202" coordsize="21600,21600" o:spt="202" path="m,l,21600r21600,l21600,xe">
              <v:stroke joinstyle="miter"/>
              <v:path gradientshapeok="t" o:connecttype="rect"/>
            </v:shapetype>
            <v:shape id="Zone de texte 2" o:spid="_x0000_s1026" type="#_x0000_t202" style="position:absolute;left:0;text-align:left;margin-left:150.4pt;margin-top:38.65pt;width:145.95pt;height:38.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" stroked="f">
              <v:textbox inset="0,0,0,0">
                <w:txbxContent>
                  <w:p w14:paraId="0599310E" w14:textId="7079FBCB" w:rsidR="00E045DF" w:rsidRPr="00C943D6" w:rsidRDefault="00E045DF" w:rsidP="00C220FB">
                    <w:pPr>
                      <w:ind w:left="0"/>
                      <w:rPr>
                        <w:b/>
                        <w:color w:val="ED145B"/>
                        <w:sz w:val="22"/>
                        <w:szCs w:val="22"/>
                      </w:rPr>
                    </w:pPr>
                    <w:r w:rsidRPr="00C943D6">
                      <w:rPr>
                        <w:b/>
                        <w:color w:val="ED145B"/>
                        <w:sz w:val="22"/>
                        <w:szCs w:val="22"/>
                      </w:rPr>
                      <w:t xml:space="preserve">Département d’évaluation </w:t>
                    </w:r>
                  </w:p>
                  <w:p w14:paraId="7B791DD2" w14:textId="7443BC71" w:rsidR="00E045DF" w:rsidRPr="00C943D6" w:rsidRDefault="00720D1F" w:rsidP="00C220FB">
                    <w:pPr>
                      <w:ind w:left="0"/>
                      <w:rPr>
                        <w:b/>
                        <w:color w:val="ED145B"/>
                        <w:sz w:val="22"/>
                        <w:szCs w:val="22"/>
                      </w:rPr>
                    </w:pPr>
                    <w:r>
                      <w:rPr>
                        <w:b/>
                        <w:color w:val="ED145B"/>
                        <w:sz w:val="22"/>
                        <w:szCs w:val="22"/>
                      </w:rPr>
                      <w:t>Des formation</w:t>
                    </w:r>
                    <w:r w:rsidR="00E045DF" w:rsidRPr="00C943D6">
                      <w:rPr>
                        <w:b/>
                        <w:color w:val="ED145B"/>
                        <w:sz w:val="22"/>
                        <w:szCs w:val="22"/>
                      </w:rPr>
                      <w:t>s</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2F3C" w14:textId="3865D84A" w:rsidR="00B80D84" w:rsidRDefault="00B80D8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ECF6" w14:textId="3848280B" w:rsidR="002557D4" w:rsidRPr="00582E23" w:rsidRDefault="00E045DF" w:rsidP="009D2096">
    <w:pPr>
      <w:tabs>
        <w:tab w:val="center" w:pos="4536"/>
        <w:tab w:val="right" w:pos="9639"/>
      </w:tabs>
      <w:ind w:left="0"/>
      <w:rPr>
        <w:sz w:val="14"/>
        <w:szCs w:val="14"/>
      </w:rPr>
    </w:pPr>
    <w:r w:rsidRPr="00582E23">
      <w:rPr>
        <w:noProof/>
        <w:sz w:val="14"/>
        <w:szCs w:val="14"/>
        <w:lang w:eastAsia="fr-FR"/>
      </w:rPr>
      <w:drawing>
        <wp:anchor distT="0" distB="0" distL="114300" distR="114300" simplePos="0" relativeHeight="251664896" behindDoc="1" locked="0" layoutInCell="1" allowOverlap="1" wp14:anchorId="3179749D" wp14:editId="62324DD4">
          <wp:simplePos x="0" y="0"/>
          <wp:positionH relativeFrom="column">
            <wp:posOffset>5843905</wp:posOffset>
          </wp:positionH>
          <wp:positionV relativeFrom="paragraph">
            <wp:posOffset>-450215</wp:posOffset>
          </wp:positionV>
          <wp:extent cx="921385" cy="921385"/>
          <wp:effectExtent l="0" t="0" r="0" b="0"/>
          <wp:wrapThrough wrapText="bothSides">
            <wp:wrapPolygon edited="0">
              <wp:start x="9378" y="893"/>
              <wp:lineTo x="5806" y="2233"/>
              <wp:lineTo x="1340" y="6252"/>
              <wp:lineTo x="1340" y="8932"/>
              <wp:lineTo x="2680" y="16524"/>
              <wp:lineTo x="8932" y="20096"/>
              <wp:lineTo x="11611" y="20096"/>
              <wp:lineTo x="18310" y="16970"/>
              <wp:lineTo x="18310" y="16077"/>
              <wp:lineTo x="20096" y="7145"/>
              <wp:lineTo x="14737" y="2233"/>
              <wp:lineTo x="12504" y="893"/>
              <wp:lineTo x="9378" y="893"/>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Suite F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921385" cy="92138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D2096">
      <w:rPr>
        <w:rFonts w:eastAsia="MS Mincho"/>
        <w:sz w:val="14"/>
        <w:szCs w:val="14"/>
        <w:lang w:eastAsia="ja-JP"/>
      </w:rPr>
      <w:t>Trame d’autoévaluation d’une</w:t>
    </w:r>
    <w:r w:rsidRPr="00582E23">
      <w:rPr>
        <w:rFonts w:eastAsia="MS Mincho"/>
        <w:sz w:val="14"/>
        <w:szCs w:val="14"/>
        <w:lang w:eastAsia="ja-JP"/>
      </w:rPr>
      <w:t xml:space="preserve"> </w:t>
    </w:r>
    <w:r w:rsidR="00543F73" w:rsidRPr="00582E23">
      <w:rPr>
        <w:rFonts w:eastAsia="MS Mincho"/>
        <w:sz w:val="14"/>
        <w:szCs w:val="14"/>
        <w:lang w:eastAsia="ja-JP"/>
      </w:rPr>
      <w:t>formation</w:t>
    </w:r>
    <w:r w:rsidR="00B838B3">
      <w:rPr>
        <w:rFonts w:eastAsia="MS Mincho"/>
        <w:sz w:val="14"/>
        <w:szCs w:val="14"/>
        <w:lang w:eastAsia="ja-JP"/>
      </w:rPr>
      <w:t xml:space="preserve"> du</w:t>
    </w:r>
    <w:r w:rsidR="00543F73" w:rsidRPr="00582E23">
      <w:rPr>
        <w:rFonts w:eastAsia="MS Mincho"/>
        <w:sz w:val="14"/>
        <w:szCs w:val="14"/>
        <w:lang w:eastAsia="ja-JP"/>
      </w:rPr>
      <w:t xml:space="preserve"> 3</w:t>
    </w:r>
    <w:r w:rsidR="00543F73" w:rsidRPr="00582E23">
      <w:rPr>
        <w:rFonts w:eastAsia="MS Mincho"/>
        <w:sz w:val="14"/>
        <w:szCs w:val="14"/>
        <w:vertAlign w:val="superscript"/>
        <w:lang w:eastAsia="ja-JP"/>
      </w:rPr>
      <w:t>e</w:t>
    </w:r>
    <w:r w:rsidR="00543F73" w:rsidRPr="00582E23">
      <w:rPr>
        <w:rFonts w:eastAsia="MS Mincho"/>
        <w:sz w:val="14"/>
        <w:szCs w:val="14"/>
        <w:lang w:eastAsia="ja-JP"/>
      </w:rPr>
      <w:t xml:space="preserve"> cycle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FA6FE" w14:textId="6B2653B3" w:rsidR="00B80D84" w:rsidRDefault="00B80D8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9771" w14:textId="24CD1EAF" w:rsidR="00B80D84" w:rsidRDefault="00B80D84">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09B87" w14:textId="6C1EDC1D" w:rsidR="004E486D" w:rsidRDefault="004E486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B2D4" w14:textId="1E14F379" w:rsidR="00B80D84" w:rsidRDefault="00B80D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A4C4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C6C05AE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95133"/>
    <w:multiLevelType w:val="hybridMultilevel"/>
    <w:tmpl w:val="9E269A2A"/>
    <w:lvl w:ilvl="0" w:tplc="6588A5C4">
      <w:numFmt w:val="bullet"/>
      <w:lvlText w:val="-"/>
      <w:lvlJc w:val="left"/>
      <w:pPr>
        <w:tabs>
          <w:tab w:val="num" w:pos="927"/>
        </w:tabs>
        <w:ind w:left="927" w:hanging="360"/>
      </w:pPr>
      <w:rPr>
        <w:rFonts w:ascii="Trebuchet MS" w:eastAsia="Times" w:hAnsi="Trebuchet MS" w:cs="Times New Roman" w:hint="default"/>
      </w:rPr>
    </w:lvl>
    <w:lvl w:ilvl="1" w:tplc="39FCE766">
      <w:start w:val="1"/>
      <w:numFmt w:val="bullet"/>
      <w:lvlText w:val=""/>
      <w:lvlJc w:val="left"/>
      <w:pPr>
        <w:tabs>
          <w:tab w:val="num" w:pos="1440"/>
        </w:tabs>
        <w:ind w:left="1440" w:hanging="360"/>
      </w:pPr>
      <w:rPr>
        <w:rFonts w:ascii="Symbol" w:hAnsi="Symbol" w:hint="default"/>
        <w:color w:val="0000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B67B8"/>
    <w:multiLevelType w:val="hybridMultilevel"/>
    <w:tmpl w:val="98A0B774"/>
    <w:lvl w:ilvl="0" w:tplc="82C06C6E">
      <w:numFmt w:val="bullet"/>
      <w:lvlText w:val="●"/>
      <w:lvlJc w:val="left"/>
      <w:pPr>
        <w:ind w:left="3338" w:hanging="360"/>
      </w:pPr>
      <w:rPr>
        <w:rFonts w:ascii="Trebuchet MS" w:hAnsi="Trebuchet MS" w:cs="Times New Roman" w:hint="default"/>
        <w:color w:val="5C2D91"/>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62F7A20"/>
    <w:multiLevelType w:val="hybridMultilevel"/>
    <w:tmpl w:val="E390C296"/>
    <w:lvl w:ilvl="0" w:tplc="6588A5C4">
      <w:numFmt w:val="bullet"/>
      <w:lvlText w:val="-"/>
      <w:lvlJc w:val="left"/>
      <w:pPr>
        <w:tabs>
          <w:tab w:val="num" w:pos="927"/>
        </w:tabs>
        <w:ind w:left="927" w:hanging="360"/>
      </w:pPr>
      <w:rPr>
        <w:rFonts w:ascii="Trebuchet MS" w:eastAsia="Times" w:hAnsi="Trebuchet MS"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A47698A"/>
    <w:multiLevelType w:val="hybridMultilevel"/>
    <w:tmpl w:val="23BC61A6"/>
    <w:lvl w:ilvl="0" w:tplc="3C02A346">
      <w:numFmt w:val="bullet"/>
      <w:lvlText w:val=""/>
      <w:lvlJc w:val="left"/>
      <w:pPr>
        <w:tabs>
          <w:tab w:val="num" w:pos="1888"/>
        </w:tabs>
        <w:ind w:left="1888" w:firstLine="0"/>
      </w:pPr>
      <w:rPr>
        <w:rFonts w:ascii="Symbol" w:hAnsi="Symbol" w:hint="default"/>
        <w:sz w:val="20"/>
      </w:rPr>
    </w:lvl>
    <w:lvl w:ilvl="1" w:tplc="040C0003" w:tentative="1">
      <w:start w:val="1"/>
      <w:numFmt w:val="bullet"/>
      <w:lvlText w:val="o"/>
      <w:lvlJc w:val="left"/>
      <w:pPr>
        <w:tabs>
          <w:tab w:val="num" w:pos="2404"/>
        </w:tabs>
        <w:ind w:left="2404" w:hanging="360"/>
      </w:pPr>
      <w:rPr>
        <w:rFonts w:ascii="Courier New" w:hAnsi="Courier New" w:cs="Arial" w:hint="default"/>
      </w:rPr>
    </w:lvl>
    <w:lvl w:ilvl="2" w:tplc="040C0005" w:tentative="1">
      <w:start w:val="1"/>
      <w:numFmt w:val="bullet"/>
      <w:lvlText w:val=""/>
      <w:lvlJc w:val="left"/>
      <w:pPr>
        <w:tabs>
          <w:tab w:val="num" w:pos="3124"/>
        </w:tabs>
        <w:ind w:left="3124" w:hanging="360"/>
      </w:pPr>
      <w:rPr>
        <w:rFonts w:ascii="Wingdings" w:hAnsi="Wingdings" w:hint="default"/>
      </w:rPr>
    </w:lvl>
    <w:lvl w:ilvl="3" w:tplc="040C0001" w:tentative="1">
      <w:start w:val="1"/>
      <w:numFmt w:val="bullet"/>
      <w:lvlText w:val=""/>
      <w:lvlJc w:val="left"/>
      <w:pPr>
        <w:tabs>
          <w:tab w:val="num" w:pos="3844"/>
        </w:tabs>
        <w:ind w:left="3844" w:hanging="360"/>
      </w:pPr>
      <w:rPr>
        <w:rFonts w:ascii="Symbol" w:hAnsi="Symbol" w:hint="default"/>
      </w:rPr>
    </w:lvl>
    <w:lvl w:ilvl="4" w:tplc="040C0003" w:tentative="1">
      <w:start w:val="1"/>
      <w:numFmt w:val="bullet"/>
      <w:lvlText w:val="o"/>
      <w:lvlJc w:val="left"/>
      <w:pPr>
        <w:tabs>
          <w:tab w:val="num" w:pos="4564"/>
        </w:tabs>
        <w:ind w:left="4564" w:hanging="360"/>
      </w:pPr>
      <w:rPr>
        <w:rFonts w:ascii="Courier New" w:hAnsi="Courier New" w:cs="Arial" w:hint="default"/>
      </w:rPr>
    </w:lvl>
    <w:lvl w:ilvl="5" w:tplc="040C0005" w:tentative="1">
      <w:start w:val="1"/>
      <w:numFmt w:val="bullet"/>
      <w:lvlText w:val=""/>
      <w:lvlJc w:val="left"/>
      <w:pPr>
        <w:tabs>
          <w:tab w:val="num" w:pos="5284"/>
        </w:tabs>
        <w:ind w:left="5284" w:hanging="360"/>
      </w:pPr>
      <w:rPr>
        <w:rFonts w:ascii="Wingdings" w:hAnsi="Wingdings" w:hint="default"/>
      </w:rPr>
    </w:lvl>
    <w:lvl w:ilvl="6" w:tplc="040C0001" w:tentative="1">
      <w:start w:val="1"/>
      <w:numFmt w:val="bullet"/>
      <w:lvlText w:val=""/>
      <w:lvlJc w:val="left"/>
      <w:pPr>
        <w:tabs>
          <w:tab w:val="num" w:pos="6004"/>
        </w:tabs>
        <w:ind w:left="6004" w:hanging="360"/>
      </w:pPr>
      <w:rPr>
        <w:rFonts w:ascii="Symbol" w:hAnsi="Symbol" w:hint="default"/>
      </w:rPr>
    </w:lvl>
    <w:lvl w:ilvl="7" w:tplc="040C0003" w:tentative="1">
      <w:start w:val="1"/>
      <w:numFmt w:val="bullet"/>
      <w:lvlText w:val="o"/>
      <w:lvlJc w:val="left"/>
      <w:pPr>
        <w:tabs>
          <w:tab w:val="num" w:pos="6724"/>
        </w:tabs>
        <w:ind w:left="6724" w:hanging="360"/>
      </w:pPr>
      <w:rPr>
        <w:rFonts w:ascii="Courier New" w:hAnsi="Courier New" w:cs="Arial" w:hint="default"/>
      </w:rPr>
    </w:lvl>
    <w:lvl w:ilvl="8" w:tplc="040C0005" w:tentative="1">
      <w:start w:val="1"/>
      <w:numFmt w:val="bullet"/>
      <w:lvlText w:val=""/>
      <w:lvlJc w:val="left"/>
      <w:pPr>
        <w:tabs>
          <w:tab w:val="num" w:pos="7444"/>
        </w:tabs>
        <w:ind w:left="7444" w:hanging="360"/>
      </w:pPr>
      <w:rPr>
        <w:rFonts w:ascii="Wingdings" w:hAnsi="Wingdings" w:hint="default"/>
      </w:rPr>
    </w:lvl>
  </w:abstractNum>
  <w:abstractNum w:abstractNumId="7" w15:restartNumberingAfterBreak="0">
    <w:nsid w:val="0C4D2A6A"/>
    <w:multiLevelType w:val="hybridMultilevel"/>
    <w:tmpl w:val="9E8494C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0D9F4BA0"/>
    <w:multiLevelType w:val="hybridMultilevel"/>
    <w:tmpl w:val="0FEACBFC"/>
    <w:lvl w:ilvl="0" w:tplc="040C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B57297"/>
    <w:multiLevelType w:val="hybridMultilevel"/>
    <w:tmpl w:val="AF9200DC"/>
    <w:lvl w:ilvl="0" w:tplc="3A4A802C">
      <w:numFmt w:val="bullet"/>
      <w:lvlText w:val="-"/>
      <w:lvlJc w:val="left"/>
      <w:pPr>
        <w:tabs>
          <w:tab w:val="num" w:pos="927"/>
        </w:tabs>
        <w:ind w:left="927" w:hanging="360"/>
      </w:pPr>
      <w:rPr>
        <w:rFonts w:ascii="Trebuchet MS" w:eastAsia="Times" w:hAnsi="Trebuchet MS" w:cs="Times New Roman" w:hint="default"/>
      </w:rPr>
    </w:lvl>
    <w:lvl w:ilvl="1" w:tplc="040C0003" w:tentative="1">
      <w:start w:val="1"/>
      <w:numFmt w:val="bullet"/>
      <w:lvlText w:val="o"/>
      <w:lvlJc w:val="left"/>
      <w:pPr>
        <w:tabs>
          <w:tab w:val="num" w:pos="1593"/>
        </w:tabs>
        <w:ind w:left="1593" w:hanging="360"/>
      </w:pPr>
      <w:rPr>
        <w:rFonts w:ascii="Courier New" w:hAnsi="Courier New" w:cs="Courier New" w:hint="default"/>
      </w:rPr>
    </w:lvl>
    <w:lvl w:ilvl="2" w:tplc="040C0005" w:tentative="1">
      <w:start w:val="1"/>
      <w:numFmt w:val="bullet"/>
      <w:lvlText w:val=""/>
      <w:lvlJc w:val="left"/>
      <w:pPr>
        <w:tabs>
          <w:tab w:val="num" w:pos="2313"/>
        </w:tabs>
        <w:ind w:left="2313" w:hanging="360"/>
      </w:pPr>
      <w:rPr>
        <w:rFonts w:ascii="Wingdings" w:hAnsi="Wingdings" w:hint="default"/>
      </w:rPr>
    </w:lvl>
    <w:lvl w:ilvl="3" w:tplc="040C0001" w:tentative="1">
      <w:start w:val="1"/>
      <w:numFmt w:val="bullet"/>
      <w:lvlText w:val=""/>
      <w:lvlJc w:val="left"/>
      <w:pPr>
        <w:tabs>
          <w:tab w:val="num" w:pos="3033"/>
        </w:tabs>
        <w:ind w:left="3033" w:hanging="360"/>
      </w:pPr>
      <w:rPr>
        <w:rFonts w:ascii="Symbol" w:hAnsi="Symbol" w:hint="default"/>
      </w:rPr>
    </w:lvl>
    <w:lvl w:ilvl="4" w:tplc="040C0003" w:tentative="1">
      <w:start w:val="1"/>
      <w:numFmt w:val="bullet"/>
      <w:lvlText w:val="o"/>
      <w:lvlJc w:val="left"/>
      <w:pPr>
        <w:tabs>
          <w:tab w:val="num" w:pos="3753"/>
        </w:tabs>
        <w:ind w:left="3753" w:hanging="360"/>
      </w:pPr>
      <w:rPr>
        <w:rFonts w:ascii="Courier New" w:hAnsi="Courier New" w:cs="Courier New" w:hint="default"/>
      </w:rPr>
    </w:lvl>
    <w:lvl w:ilvl="5" w:tplc="040C0005" w:tentative="1">
      <w:start w:val="1"/>
      <w:numFmt w:val="bullet"/>
      <w:lvlText w:val=""/>
      <w:lvlJc w:val="left"/>
      <w:pPr>
        <w:tabs>
          <w:tab w:val="num" w:pos="4473"/>
        </w:tabs>
        <w:ind w:left="4473" w:hanging="360"/>
      </w:pPr>
      <w:rPr>
        <w:rFonts w:ascii="Wingdings" w:hAnsi="Wingdings" w:hint="default"/>
      </w:rPr>
    </w:lvl>
    <w:lvl w:ilvl="6" w:tplc="040C0001" w:tentative="1">
      <w:start w:val="1"/>
      <w:numFmt w:val="bullet"/>
      <w:lvlText w:val=""/>
      <w:lvlJc w:val="left"/>
      <w:pPr>
        <w:tabs>
          <w:tab w:val="num" w:pos="5193"/>
        </w:tabs>
        <w:ind w:left="5193" w:hanging="360"/>
      </w:pPr>
      <w:rPr>
        <w:rFonts w:ascii="Symbol" w:hAnsi="Symbol" w:hint="default"/>
      </w:rPr>
    </w:lvl>
    <w:lvl w:ilvl="7" w:tplc="040C0003" w:tentative="1">
      <w:start w:val="1"/>
      <w:numFmt w:val="bullet"/>
      <w:lvlText w:val="o"/>
      <w:lvlJc w:val="left"/>
      <w:pPr>
        <w:tabs>
          <w:tab w:val="num" w:pos="5913"/>
        </w:tabs>
        <w:ind w:left="5913" w:hanging="360"/>
      </w:pPr>
      <w:rPr>
        <w:rFonts w:ascii="Courier New" w:hAnsi="Courier New" w:cs="Courier New" w:hint="default"/>
      </w:rPr>
    </w:lvl>
    <w:lvl w:ilvl="8" w:tplc="040C0005" w:tentative="1">
      <w:start w:val="1"/>
      <w:numFmt w:val="bullet"/>
      <w:lvlText w:val=""/>
      <w:lvlJc w:val="left"/>
      <w:pPr>
        <w:tabs>
          <w:tab w:val="num" w:pos="6633"/>
        </w:tabs>
        <w:ind w:left="6633" w:hanging="360"/>
      </w:pPr>
      <w:rPr>
        <w:rFonts w:ascii="Wingdings" w:hAnsi="Wingdings" w:hint="default"/>
      </w:rPr>
    </w:lvl>
  </w:abstractNum>
  <w:abstractNum w:abstractNumId="10" w15:restartNumberingAfterBreak="0">
    <w:nsid w:val="1E9154D0"/>
    <w:multiLevelType w:val="hybridMultilevel"/>
    <w:tmpl w:val="80DC1D96"/>
    <w:lvl w:ilvl="0" w:tplc="C330B580">
      <w:numFmt w:val="bullet"/>
      <w:lvlText w:val="-"/>
      <w:lvlJc w:val="left"/>
      <w:pPr>
        <w:ind w:left="927" w:hanging="360"/>
      </w:pPr>
      <w:rPr>
        <w:rFonts w:ascii="Trebuchet MS" w:eastAsia="Times" w:hAnsi="Trebuchet MS"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257F2050"/>
    <w:multiLevelType w:val="hybridMultilevel"/>
    <w:tmpl w:val="C3EAA3A6"/>
    <w:lvl w:ilvl="0" w:tplc="573038AC">
      <w:start w:val="1"/>
      <w:numFmt w:val="bullet"/>
      <w:lvlText w:val=""/>
      <w:lvlJc w:val="left"/>
      <w:pPr>
        <w:tabs>
          <w:tab w:val="num" w:pos="964"/>
        </w:tabs>
        <w:ind w:left="964" w:firstLine="0"/>
      </w:pPr>
      <w:rPr>
        <w:rFonts w:ascii="Symbol" w:hAnsi="Symbol" w:hint="default"/>
      </w:rPr>
    </w:lvl>
    <w:lvl w:ilvl="1" w:tplc="040C0003" w:tentative="1">
      <w:start w:val="1"/>
      <w:numFmt w:val="bullet"/>
      <w:lvlText w:val="o"/>
      <w:lvlJc w:val="left"/>
      <w:pPr>
        <w:tabs>
          <w:tab w:val="num" w:pos="2404"/>
        </w:tabs>
        <w:ind w:left="2404" w:hanging="360"/>
      </w:pPr>
      <w:rPr>
        <w:rFonts w:ascii="Courier New" w:hAnsi="Courier New" w:cs="Courier New" w:hint="default"/>
      </w:rPr>
    </w:lvl>
    <w:lvl w:ilvl="2" w:tplc="040C0005" w:tentative="1">
      <w:start w:val="1"/>
      <w:numFmt w:val="bullet"/>
      <w:lvlText w:val=""/>
      <w:lvlJc w:val="left"/>
      <w:pPr>
        <w:tabs>
          <w:tab w:val="num" w:pos="3124"/>
        </w:tabs>
        <w:ind w:left="3124" w:hanging="360"/>
      </w:pPr>
      <w:rPr>
        <w:rFonts w:ascii="Wingdings" w:hAnsi="Wingdings" w:hint="default"/>
      </w:rPr>
    </w:lvl>
    <w:lvl w:ilvl="3" w:tplc="040C0001" w:tentative="1">
      <w:start w:val="1"/>
      <w:numFmt w:val="bullet"/>
      <w:lvlText w:val=""/>
      <w:lvlJc w:val="left"/>
      <w:pPr>
        <w:tabs>
          <w:tab w:val="num" w:pos="3844"/>
        </w:tabs>
        <w:ind w:left="3844" w:hanging="360"/>
      </w:pPr>
      <w:rPr>
        <w:rFonts w:ascii="Symbol" w:hAnsi="Symbol" w:hint="default"/>
      </w:rPr>
    </w:lvl>
    <w:lvl w:ilvl="4" w:tplc="040C0003" w:tentative="1">
      <w:start w:val="1"/>
      <w:numFmt w:val="bullet"/>
      <w:lvlText w:val="o"/>
      <w:lvlJc w:val="left"/>
      <w:pPr>
        <w:tabs>
          <w:tab w:val="num" w:pos="4564"/>
        </w:tabs>
        <w:ind w:left="4564" w:hanging="360"/>
      </w:pPr>
      <w:rPr>
        <w:rFonts w:ascii="Courier New" w:hAnsi="Courier New" w:cs="Courier New" w:hint="default"/>
      </w:rPr>
    </w:lvl>
    <w:lvl w:ilvl="5" w:tplc="040C0005" w:tentative="1">
      <w:start w:val="1"/>
      <w:numFmt w:val="bullet"/>
      <w:lvlText w:val=""/>
      <w:lvlJc w:val="left"/>
      <w:pPr>
        <w:tabs>
          <w:tab w:val="num" w:pos="5284"/>
        </w:tabs>
        <w:ind w:left="5284" w:hanging="360"/>
      </w:pPr>
      <w:rPr>
        <w:rFonts w:ascii="Wingdings" w:hAnsi="Wingdings" w:hint="default"/>
      </w:rPr>
    </w:lvl>
    <w:lvl w:ilvl="6" w:tplc="040C0001" w:tentative="1">
      <w:start w:val="1"/>
      <w:numFmt w:val="bullet"/>
      <w:lvlText w:val=""/>
      <w:lvlJc w:val="left"/>
      <w:pPr>
        <w:tabs>
          <w:tab w:val="num" w:pos="6004"/>
        </w:tabs>
        <w:ind w:left="6004" w:hanging="360"/>
      </w:pPr>
      <w:rPr>
        <w:rFonts w:ascii="Symbol" w:hAnsi="Symbol" w:hint="default"/>
      </w:rPr>
    </w:lvl>
    <w:lvl w:ilvl="7" w:tplc="040C0003" w:tentative="1">
      <w:start w:val="1"/>
      <w:numFmt w:val="bullet"/>
      <w:lvlText w:val="o"/>
      <w:lvlJc w:val="left"/>
      <w:pPr>
        <w:tabs>
          <w:tab w:val="num" w:pos="6724"/>
        </w:tabs>
        <w:ind w:left="6724" w:hanging="360"/>
      </w:pPr>
      <w:rPr>
        <w:rFonts w:ascii="Courier New" w:hAnsi="Courier New" w:cs="Courier New" w:hint="default"/>
      </w:rPr>
    </w:lvl>
    <w:lvl w:ilvl="8" w:tplc="040C0005" w:tentative="1">
      <w:start w:val="1"/>
      <w:numFmt w:val="bullet"/>
      <w:lvlText w:val=""/>
      <w:lvlJc w:val="left"/>
      <w:pPr>
        <w:tabs>
          <w:tab w:val="num" w:pos="7444"/>
        </w:tabs>
        <w:ind w:left="7444" w:hanging="360"/>
      </w:pPr>
      <w:rPr>
        <w:rFonts w:ascii="Wingdings" w:hAnsi="Wingdings" w:hint="default"/>
      </w:rPr>
    </w:lvl>
  </w:abstractNum>
  <w:abstractNum w:abstractNumId="12" w15:restartNumberingAfterBreak="0">
    <w:nsid w:val="275D4E31"/>
    <w:multiLevelType w:val="hybridMultilevel"/>
    <w:tmpl w:val="FD401EE4"/>
    <w:lvl w:ilvl="0" w:tplc="82C06C6E">
      <w:numFmt w:val="bullet"/>
      <w:lvlText w:val="●"/>
      <w:lvlJc w:val="left"/>
      <w:pPr>
        <w:ind w:left="3338" w:hanging="360"/>
      </w:pPr>
      <w:rPr>
        <w:rFonts w:ascii="Trebuchet MS" w:hAnsi="Trebuchet MS" w:cs="Times New Roman" w:hint="default"/>
        <w:color w:val="5C2D91"/>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BB04BF1"/>
    <w:multiLevelType w:val="hybridMultilevel"/>
    <w:tmpl w:val="2B9EB094"/>
    <w:lvl w:ilvl="0" w:tplc="4A449804">
      <w:numFmt w:val="bullet"/>
      <w:lvlText w:val="●"/>
      <w:lvlJc w:val="left"/>
      <w:pPr>
        <w:ind w:left="1068" w:hanging="360"/>
      </w:pPr>
      <w:rPr>
        <w:rFonts w:ascii="Trebuchet MS" w:hAnsi="Trebuchet MS" w:cs="Times New Roman" w:hint="default"/>
        <w:color w:val="FF0066"/>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20B00FA"/>
    <w:multiLevelType w:val="multilevel"/>
    <w:tmpl w:val="040C001D"/>
    <w:styleLink w:val="Hcrestabledesmatires"/>
    <w:lvl w:ilvl="0">
      <w:start w:val="1"/>
      <w:numFmt w:val="bullet"/>
      <w:lvlText w:val="●"/>
      <w:lvlJc w:val="left"/>
      <w:pPr>
        <w:ind w:left="360" w:hanging="360"/>
      </w:pPr>
      <w:rPr>
        <w:rFonts w:ascii="Century Gothic" w:hAnsi="Century Gothic" w:hint="default"/>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5E74A1"/>
    <w:multiLevelType w:val="multilevel"/>
    <w:tmpl w:val="040C001D"/>
    <w:numStyleLink w:val="Hcrestabledesmatires"/>
  </w:abstractNum>
  <w:abstractNum w:abstractNumId="16" w15:restartNumberingAfterBreak="0">
    <w:nsid w:val="36D969F6"/>
    <w:multiLevelType w:val="hybridMultilevel"/>
    <w:tmpl w:val="FAF63BF8"/>
    <w:lvl w:ilvl="0" w:tplc="7A626660">
      <w:start w:val="1"/>
      <w:numFmt w:val="decimal"/>
      <w:lvlText w:val="%1-"/>
      <w:lvlJc w:val="left"/>
      <w:pPr>
        <w:tabs>
          <w:tab w:val="num" w:pos="975"/>
        </w:tabs>
        <w:ind w:left="975" w:hanging="435"/>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7" w15:restartNumberingAfterBreak="0">
    <w:nsid w:val="38345EB6"/>
    <w:multiLevelType w:val="hybridMultilevel"/>
    <w:tmpl w:val="BEDC92AA"/>
    <w:lvl w:ilvl="0" w:tplc="D4648E48">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Arial"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Arial"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Arial"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87239A0"/>
    <w:multiLevelType w:val="hybridMultilevel"/>
    <w:tmpl w:val="8CCC03B8"/>
    <w:lvl w:ilvl="0" w:tplc="61E88DAC">
      <w:start w:val="1"/>
      <w:numFmt w:val="bullet"/>
      <w:lvlText w:val="-"/>
      <w:lvlJc w:val="left"/>
      <w:pPr>
        <w:tabs>
          <w:tab w:val="num" w:pos="360"/>
        </w:tabs>
        <w:ind w:left="360" w:hanging="360"/>
      </w:pPr>
      <w:rPr>
        <w:rFonts w:ascii="Times New Roman" w:eastAsia="Times New Roman" w:hAnsi="Times New Roman" w:hint="default"/>
      </w:rPr>
    </w:lvl>
    <w:lvl w:ilvl="1" w:tplc="0003040C">
      <w:start w:val="1"/>
      <w:numFmt w:val="bullet"/>
      <w:lvlText w:val="o"/>
      <w:lvlJc w:val="left"/>
      <w:pPr>
        <w:tabs>
          <w:tab w:val="num" w:pos="360"/>
        </w:tabs>
        <w:ind w:left="360" w:hanging="360"/>
      </w:pPr>
      <w:rPr>
        <w:rFonts w:ascii="Courier New" w:hAnsi="Courier New" w:hint="default"/>
      </w:rPr>
    </w:lvl>
    <w:lvl w:ilvl="2" w:tplc="0005040C">
      <w:start w:val="1"/>
      <w:numFmt w:val="bullet"/>
      <w:lvlText w:val=""/>
      <w:lvlJc w:val="left"/>
      <w:pPr>
        <w:tabs>
          <w:tab w:val="num" w:pos="1800"/>
        </w:tabs>
        <w:ind w:left="1800" w:hanging="360"/>
      </w:pPr>
      <w:rPr>
        <w:rFonts w:ascii="Wingdings" w:hAnsi="Wingdings" w:hint="default"/>
      </w:rPr>
    </w:lvl>
    <w:lvl w:ilvl="3" w:tplc="0001040C">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5E2330"/>
    <w:multiLevelType w:val="hybridMultilevel"/>
    <w:tmpl w:val="595E07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526D8"/>
    <w:multiLevelType w:val="hybridMultilevel"/>
    <w:tmpl w:val="DECE3624"/>
    <w:lvl w:ilvl="0" w:tplc="4A449804">
      <w:numFmt w:val="bullet"/>
      <w:lvlText w:val="●"/>
      <w:lvlJc w:val="left"/>
      <w:pPr>
        <w:ind w:left="3338" w:hanging="360"/>
      </w:pPr>
      <w:rPr>
        <w:rFonts w:ascii="Trebuchet MS" w:hAnsi="Trebuchet MS" w:cs="Times New Roman" w:hint="default"/>
        <w:color w:val="FF0066"/>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D66457D"/>
    <w:multiLevelType w:val="hybridMultilevel"/>
    <w:tmpl w:val="7190F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1D06CB"/>
    <w:multiLevelType w:val="hybridMultilevel"/>
    <w:tmpl w:val="7CFC4C1A"/>
    <w:lvl w:ilvl="0" w:tplc="411EADEC">
      <w:numFmt w:val="bullet"/>
      <w:lvlText w:val="●"/>
      <w:lvlJc w:val="left"/>
      <w:pPr>
        <w:ind w:left="1068" w:hanging="360"/>
      </w:pPr>
      <w:rPr>
        <w:rFonts w:ascii="Trebuchet MS" w:hAnsi="Trebuchet MS" w:cs="Times New Roman" w:hint="default"/>
        <w:color w:val="FF0066"/>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1CA308C"/>
    <w:multiLevelType w:val="hybridMultilevel"/>
    <w:tmpl w:val="85407742"/>
    <w:lvl w:ilvl="0" w:tplc="ADA6391A">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431B154B"/>
    <w:multiLevelType w:val="hybridMultilevel"/>
    <w:tmpl w:val="7C9A81B2"/>
    <w:lvl w:ilvl="0" w:tplc="AD7E2E52">
      <w:numFmt w:val="bullet"/>
      <w:lvlText w:val="-"/>
      <w:lvlJc w:val="left"/>
      <w:pPr>
        <w:ind w:left="720" w:hanging="360"/>
      </w:pPr>
      <w:rPr>
        <w:rFonts w:ascii="Century Gothic" w:eastAsiaTheme="minorHAnsi" w:hAnsi="Century Gothic"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843545"/>
    <w:multiLevelType w:val="hybridMultilevel"/>
    <w:tmpl w:val="AC0604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1D6294"/>
    <w:multiLevelType w:val="multilevel"/>
    <w:tmpl w:val="F224D77E"/>
    <w:lvl w:ilvl="0">
      <w:numFmt w:val="bullet"/>
      <w:lvlText w:val="-"/>
      <w:lvlJc w:val="left"/>
      <w:pPr>
        <w:tabs>
          <w:tab w:val="num" w:pos="927"/>
        </w:tabs>
        <w:ind w:left="927" w:hanging="360"/>
      </w:pPr>
      <w:rPr>
        <w:rFonts w:ascii="Trebuchet MS" w:eastAsia="Times"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553F6"/>
    <w:multiLevelType w:val="hybridMultilevel"/>
    <w:tmpl w:val="806AC438"/>
    <w:lvl w:ilvl="0" w:tplc="4A449804">
      <w:numFmt w:val="bullet"/>
      <w:lvlText w:val="●"/>
      <w:lvlJc w:val="left"/>
      <w:pPr>
        <w:ind w:left="862" w:hanging="360"/>
      </w:pPr>
      <w:rPr>
        <w:rFonts w:ascii="Trebuchet MS" w:hAnsi="Trebuchet MS" w:cs="Times New Roman" w:hint="default"/>
        <w:color w:val="FF006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15:restartNumberingAfterBreak="0">
    <w:nsid w:val="482861A4"/>
    <w:multiLevelType w:val="hybridMultilevel"/>
    <w:tmpl w:val="16146988"/>
    <w:lvl w:ilvl="0" w:tplc="39FCE766">
      <w:start w:val="1"/>
      <w:numFmt w:val="bullet"/>
      <w:lvlText w:val=""/>
      <w:lvlJc w:val="left"/>
      <w:pPr>
        <w:tabs>
          <w:tab w:val="num" w:pos="2551"/>
        </w:tabs>
        <w:ind w:left="2551" w:hanging="360"/>
      </w:pPr>
      <w:rPr>
        <w:rFonts w:ascii="Symbol" w:hAnsi="Symbol" w:hint="default"/>
        <w:color w:val="000000"/>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4A1434BC"/>
    <w:multiLevelType w:val="hybridMultilevel"/>
    <w:tmpl w:val="65362F78"/>
    <w:lvl w:ilvl="0" w:tplc="C330B580">
      <w:numFmt w:val="bullet"/>
      <w:lvlText w:val="-"/>
      <w:lvlJc w:val="left"/>
      <w:pPr>
        <w:ind w:left="1287" w:hanging="360"/>
      </w:pPr>
      <w:rPr>
        <w:rFonts w:ascii="Trebuchet MS" w:eastAsia="Times" w:hAnsi="Trebuchet MS"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4DBD19DC"/>
    <w:multiLevelType w:val="hybridMultilevel"/>
    <w:tmpl w:val="A2FAD86A"/>
    <w:lvl w:ilvl="0" w:tplc="040C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56D0B3C"/>
    <w:multiLevelType w:val="hybridMultilevel"/>
    <w:tmpl w:val="3EAEE49E"/>
    <w:lvl w:ilvl="0" w:tplc="C330B580">
      <w:numFmt w:val="bullet"/>
      <w:lvlText w:val="-"/>
      <w:lvlJc w:val="left"/>
      <w:pPr>
        <w:ind w:left="1287" w:hanging="360"/>
      </w:pPr>
      <w:rPr>
        <w:rFonts w:ascii="Trebuchet MS" w:eastAsia="Times" w:hAnsi="Trebuchet MS"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15:restartNumberingAfterBreak="0">
    <w:nsid w:val="5EA52342"/>
    <w:multiLevelType w:val="hybridMultilevel"/>
    <w:tmpl w:val="993C2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261F8D"/>
    <w:multiLevelType w:val="hybridMultilevel"/>
    <w:tmpl w:val="1CD8DA48"/>
    <w:lvl w:ilvl="0" w:tplc="040C000F">
      <w:start w:val="1"/>
      <w:numFmt w:val="decimal"/>
      <w:lvlText w:val="%1."/>
      <w:lvlJc w:val="left"/>
      <w:pPr>
        <w:ind w:left="3771" w:hanging="360"/>
      </w:pPr>
    </w:lvl>
    <w:lvl w:ilvl="1" w:tplc="040C0019" w:tentative="1">
      <w:start w:val="1"/>
      <w:numFmt w:val="lowerLetter"/>
      <w:lvlText w:val="%2."/>
      <w:lvlJc w:val="left"/>
      <w:pPr>
        <w:ind w:left="4491" w:hanging="360"/>
      </w:pPr>
    </w:lvl>
    <w:lvl w:ilvl="2" w:tplc="040C001B" w:tentative="1">
      <w:start w:val="1"/>
      <w:numFmt w:val="lowerRoman"/>
      <w:lvlText w:val="%3."/>
      <w:lvlJc w:val="right"/>
      <w:pPr>
        <w:ind w:left="5211" w:hanging="180"/>
      </w:pPr>
    </w:lvl>
    <w:lvl w:ilvl="3" w:tplc="040C000F" w:tentative="1">
      <w:start w:val="1"/>
      <w:numFmt w:val="decimal"/>
      <w:lvlText w:val="%4."/>
      <w:lvlJc w:val="left"/>
      <w:pPr>
        <w:ind w:left="5931" w:hanging="360"/>
      </w:pPr>
    </w:lvl>
    <w:lvl w:ilvl="4" w:tplc="040C0019" w:tentative="1">
      <w:start w:val="1"/>
      <w:numFmt w:val="lowerLetter"/>
      <w:lvlText w:val="%5."/>
      <w:lvlJc w:val="left"/>
      <w:pPr>
        <w:ind w:left="6651" w:hanging="360"/>
      </w:pPr>
    </w:lvl>
    <w:lvl w:ilvl="5" w:tplc="040C001B" w:tentative="1">
      <w:start w:val="1"/>
      <w:numFmt w:val="lowerRoman"/>
      <w:lvlText w:val="%6."/>
      <w:lvlJc w:val="right"/>
      <w:pPr>
        <w:ind w:left="7371" w:hanging="180"/>
      </w:pPr>
    </w:lvl>
    <w:lvl w:ilvl="6" w:tplc="040C000F" w:tentative="1">
      <w:start w:val="1"/>
      <w:numFmt w:val="decimal"/>
      <w:lvlText w:val="%7."/>
      <w:lvlJc w:val="left"/>
      <w:pPr>
        <w:ind w:left="8091" w:hanging="360"/>
      </w:pPr>
    </w:lvl>
    <w:lvl w:ilvl="7" w:tplc="040C0019" w:tentative="1">
      <w:start w:val="1"/>
      <w:numFmt w:val="lowerLetter"/>
      <w:lvlText w:val="%8."/>
      <w:lvlJc w:val="left"/>
      <w:pPr>
        <w:ind w:left="8811" w:hanging="360"/>
      </w:pPr>
    </w:lvl>
    <w:lvl w:ilvl="8" w:tplc="040C001B" w:tentative="1">
      <w:start w:val="1"/>
      <w:numFmt w:val="lowerRoman"/>
      <w:lvlText w:val="%9."/>
      <w:lvlJc w:val="right"/>
      <w:pPr>
        <w:ind w:left="9531" w:hanging="180"/>
      </w:pPr>
    </w:lvl>
  </w:abstractNum>
  <w:abstractNum w:abstractNumId="34" w15:restartNumberingAfterBreak="0">
    <w:nsid w:val="6281459A"/>
    <w:multiLevelType w:val="hybridMultilevel"/>
    <w:tmpl w:val="04B4D7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D5159"/>
    <w:multiLevelType w:val="multilevel"/>
    <w:tmpl w:val="E390C296"/>
    <w:lvl w:ilvl="0">
      <w:numFmt w:val="bullet"/>
      <w:lvlText w:val="-"/>
      <w:lvlJc w:val="left"/>
      <w:pPr>
        <w:tabs>
          <w:tab w:val="num" w:pos="927"/>
        </w:tabs>
        <w:ind w:left="927" w:hanging="360"/>
      </w:pPr>
      <w:rPr>
        <w:rFonts w:ascii="Trebuchet MS" w:eastAsia="Times" w:hAnsi="Trebuchet MS"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670C0391"/>
    <w:multiLevelType w:val="hybridMultilevel"/>
    <w:tmpl w:val="B442F5F0"/>
    <w:lvl w:ilvl="0" w:tplc="3334D306">
      <w:numFmt w:val="bullet"/>
      <w:lvlText w:val=""/>
      <w:lvlJc w:val="left"/>
      <w:pPr>
        <w:tabs>
          <w:tab w:val="num" w:pos="1324"/>
        </w:tabs>
        <w:ind w:left="1324" w:hanging="360"/>
      </w:pPr>
      <w:rPr>
        <w:rFonts w:ascii="Wingdings" w:eastAsia="Times" w:hAnsi="Wingdings" w:cs="Times New Roman" w:hint="default"/>
        <w:sz w:val="12"/>
      </w:rPr>
    </w:lvl>
    <w:lvl w:ilvl="1" w:tplc="8660A3BA">
      <w:numFmt w:val="bullet"/>
      <w:lvlText w:val=""/>
      <w:lvlJc w:val="left"/>
      <w:pPr>
        <w:tabs>
          <w:tab w:val="num" w:pos="2044"/>
        </w:tabs>
        <w:ind w:left="2044" w:hanging="360"/>
      </w:pPr>
      <w:rPr>
        <w:rFonts w:ascii="Symbol" w:eastAsia="Times" w:hAnsi="Symbol" w:cs="Times New Roman" w:hint="default"/>
      </w:rPr>
    </w:lvl>
    <w:lvl w:ilvl="2" w:tplc="040C0005" w:tentative="1">
      <w:start w:val="1"/>
      <w:numFmt w:val="bullet"/>
      <w:lvlText w:val=""/>
      <w:lvlJc w:val="left"/>
      <w:pPr>
        <w:tabs>
          <w:tab w:val="num" w:pos="2764"/>
        </w:tabs>
        <w:ind w:left="2764" w:hanging="360"/>
      </w:pPr>
      <w:rPr>
        <w:rFonts w:ascii="Wingdings" w:hAnsi="Wingdings" w:hint="default"/>
      </w:rPr>
    </w:lvl>
    <w:lvl w:ilvl="3" w:tplc="040C0001" w:tentative="1">
      <w:start w:val="1"/>
      <w:numFmt w:val="bullet"/>
      <w:lvlText w:val=""/>
      <w:lvlJc w:val="left"/>
      <w:pPr>
        <w:tabs>
          <w:tab w:val="num" w:pos="3484"/>
        </w:tabs>
        <w:ind w:left="3484" w:hanging="360"/>
      </w:pPr>
      <w:rPr>
        <w:rFonts w:ascii="Symbol" w:hAnsi="Symbol" w:hint="default"/>
      </w:rPr>
    </w:lvl>
    <w:lvl w:ilvl="4" w:tplc="040C0003" w:tentative="1">
      <w:start w:val="1"/>
      <w:numFmt w:val="bullet"/>
      <w:lvlText w:val="o"/>
      <w:lvlJc w:val="left"/>
      <w:pPr>
        <w:tabs>
          <w:tab w:val="num" w:pos="4204"/>
        </w:tabs>
        <w:ind w:left="4204" w:hanging="360"/>
      </w:pPr>
      <w:rPr>
        <w:rFonts w:ascii="Courier New" w:hAnsi="Courier New" w:cs="Arial" w:hint="default"/>
      </w:rPr>
    </w:lvl>
    <w:lvl w:ilvl="5" w:tplc="040C0005" w:tentative="1">
      <w:start w:val="1"/>
      <w:numFmt w:val="bullet"/>
      <w:lvlText w:val=""/>
      <w:lvlJc w:val="left"/>
      <w:pPr>
        <w:tabs>
          <w:tab w:val="num" w:pos="4924"/>
        </w:tabs>
        <w:ind w:left="4924" w:hanging="360"/>
      </w:pPr>
      <w:rPr>
        <w:rFonts w:ascii="Wingdings" w:hAnsi="Wingdings" w:hint="default"/>
      </w:rPr>
    </w:lvl>
    <w:lvl w:ilvl="6" w:tplc="040C0001" w:tentative="1">
      <w:start w:val="1"/>
      <w:numFmt w:val="bullet"/>
      <w:lvlText w:val=""/>
      <w:lvlJc w:val="left"/>
      <w:pPr>
        <w:tabs>
          <w:tab w:val="num" w:pos="5644"/>
        </w:tabs>
        <w:ind w:left="5644" w:hanging="360"/>
      </w:pPr>
      <w:rPr>
        <w:rFonts w:ascii="Symbol" w:hAnsi="Symbol" w:hint="default"/>
      </w:rPr>
    </w:lvl>
    <w:lvl w:ilvl="7" w:tplc="040C0003" w:tentative="1">
      <w:start w:val="1"/>
      <w:numFmt w:val="bullet"/>
      <w:lvlText w:val="o"/>
      <w:lvlJc w:val="left"/>
      <w:pPr>
        <w:tabs>
          <w:tab w:val="num" w:pos="6364"/>
        </w:tabs>
        <w:ind w:left="6364" w:hanging="360"/>
      </w:pPr>
      <w:rPr>
        <w:rFonts w:ascii="Courier New" w:hAnsi="Courier New" w:cs="Arial" w:hint="default"/>
      </w:rPr>
    </w:lvl>
    <w:lvl w:ilvl="8" w:tplc="040C0005" w:tentative="1">
      <w:start w:val="1"/>
      <w:numFmt w:val="bullet"/>
      <w:lvlText w:val=""/>
      <w:lvlJc w:val="left"/>
      <w:pPr>
        <w:tabs>
          <w:tab w:val="num" w:pos="7084"/>
        </w:tabs>
        <w:ind w:left="7084" w:hanging="360"/>
      </w:pPr>
      <w:rPr>
        <w:rFonts w:ascii="Wingdings" w:hAnsi="Wingdings" w:hint="default"/>
      </w:rPr>
    </w:lvl>
  </w:abstractNum>
  <w:abstractNum w:abstractNumId="37" w15:restartNumberingAfterBreak="0">
    <w:nsid w:val="6C5667EC"/>
    <w:multiLevelType w:val="hybridMultilevel"/>
    <w:tmpl w:val="F356EAAA"/>
    <w:lvl w:ilvl="0" w:tplc="9FD43992">
      <w:start w:val="1"/>
      <w:numFmt w:val="bullet"/>
      <w:pStyle w:val="Titre1"/>
      <w:lvlText w:val="─"/>
      <w:lvlJc w:val="left"/>
      <w:pPr>
        <w:ind w:left="1778" w:hanging="360"/>
      </w:pPr>
      <w:rPr>
        <w:rFonts w:ascii="Century Gothic" w:hAnsi="Century Gothic" w:hint="default"/>
        <w:b/>
        <w:i w:val="0"/>
        <w:color w:val="5C2D91"/>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38" w15:restartNumberingAfterBreak="0">
    <w:nsid w:val="7A0E3B02"/>
    <w:multiLevelType w:val="hybridMultilevel"/>
    <w:tmpl w:val="D3E6C9EC"/>
    <w:lvl w:ilvl="0" w:tplc="82C06C6E">
      <w:numFmt w:val="bullet"/>
      <w:lvlText w:val="●"/>
      <w:lvlJc w:val="left"/>
      <w:pPr>
        <w:ind w:left="5747" w:hanging="360"/>
      </w:pPr>
      <w:rPr>
        <w:rFonts w:ascii="Trebuchet MS" w:hAnsi="Trebuchet MS" w:cs="Times New Roman" w:hint="default"/>
        <w:color w:val="5C2D91"/>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AB4305F"/>
    <w:multiLevelType w:val="hybridMultilevel"/>
    <w:tmpl w:val="F224D77E"/>
    <w:lvl w:ilvl="0" w:tplc="6588A5C4">
      <w:numFmt w:val="bullet"/>
      <w:lvlText w:val="-"/>
      <w:lvlJc w:val="left"/>
      <w:pPr>
        <w:tabs>
          <w:tab w:val="num" w:pos="927"/>
        </w:tabs>
        <w:ind w:left="927" w:hanging="360"/>
      </w:pPr>
      <w:rPr>
        <w:rFonts w:ascii="Trebuchet MS" w:eastAsia="Times"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36054"/>
    <w:multiLevelType w:val="hybridMultilevel"/>
    <w:tmpl w:val="A858E18A"/>
    <w:lvl w:ilvl="0" w:tplc="C330B580">
      <w:numFmt w:val="bullet"/>
      <w:lvlText w:val="-"/>
      <w:lvlJc w:val="left"/>
      <w:pPr>
        <w:ind w:left="1287" w:hanging="360"/>
      </w:pPr>
      <w:rPr>
        <w:rFonts w:ascii="Trebuchet MS" w:eastAsia="Times" w:hAnsi="Trebuchet MS"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8"/>
  </w:num>
  <w:num w:numId="2">
    <w:abstractNumId w:val="1"/>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25"/>
  </w:num>
  <w:num w:numId="7">
    <w:abstractNumId w:val="34"/>
  </w:num>
  <w:num w:numId="8">
    <w:abstractNumId w:val="6"/>
  </w:num>
  <w:num w:numId="9">
    <w:abstractNumId w:val="36"/>
  </w:num>
  <w:num w:numId="10">
    <w:abstractNumId w:val="16"/>
  </w:num>
  <w:num w:numId="11">
    <w:abstractNumId w:val="11"/>
  </w:num>
  <w:num w:numId="12">
    <w:abstractNumId w:val="28"/>
  </w:num>
  <w:num w:numId="13">
    <w:abstractNumId w:val="5"/>
  </w:num>
  <w:num w:numId="14">
    <w:abstractNumId w:val="39"/>
  </w:num>
  <w:num w:numId="15">
    <w:abstractNumId w:val="26"/>
  </w:num>
  <w:num w:numId="16">
    <w:abstractNumId w:val="3"/>
  </w:num>
  <w:num w:numId="17">
    <w:abstractNumId w:val="35"/>
  </w:num>
  <w:num w:numId="18">
    <w:abstractNumId w:val="9"/>
  </w:num>
  <w:num w:numId="19">
    <w:abstractNumId w:val="7"/>
  </w:num>
  <w:num w:numId="20">
    <w:abstractNumId w:val="10"/>
  </w:num>
  <w:num w:numId="21">
    <w:abstractNumId w:val="0"/>
  </w:num>
  <w:num w:numId="22">
    <w:abstractNumId w:val="22"/>
  </w:num>
  <w:num w:numId="23">
    <w:abstractNumId w:val="29"/>
  </w:num>
  <w:num w:numId="24">
    <w:abstractNumId w:val="40"/>
  </w:num>
  <w:num w:numId="25">
    <w:abstractNumId w:val="31"/>
  </w:num>
  <w:num w:numId="26">
    <w:abstractNumId w:val="20"/>
  </w:num>
  <w:num w:numId="27">
    <w:abstractNumId w:val="13"/>
  </w:num>
  <w:num w:numId="28">
    <w:abstractNumId w:val="8"/>
  </w:num>
  <w:num w:numId="29">
    <w:abstractNumId w:val="2"/>
  </w:num>
  <w:num w:numId="30">
    <w:abstractNumId w:val="30"/>
  </w:num>
  <w:num w:numId="31">
    <w:abstractNumId w:val="21"/>
  </w:num>
  <w:num w:numId="32">
    <w:abstractNumId w:val="32"/>
  </w:num>
  <w:num w:numId="33">
    <w:abstractNumId w:val="14"/>
  </w:num>
  <w:num w:numId="34">
    <w:abstractNumId w:val="15"/>
  </w:num>
  <w:num w:numId="35">
    <w:abstractNumId w:val="33"/>
  </w:num>
  <w:num w:numId="36">
    <w:abstractNumId w:val="27"/>
  </w:num>
  <w:num w:numId="37">
    <w:abstractNumId w:val="12"/>
  </w:num>
  <w:num w:numId="38">
    <w:abstractNumId w:val="37"/>
  </w:num>
  <w:num w:numId="39">
    <w:abstractNumId w:val="4"/>
  </w:num>
  <w:num w:numId="40">
    <w:abstractNumId w:val="3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1"/>
  <w:activeWritingStyle w:appName="MSWord" w:lang="fr-FR" w:vendorID="64" w:dllVersion="0" w:nlCheck="1" w:checkStyle="0"/>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8D"/>
    <w:rsid w:val="00001200"/>
    <w:rsid w:val="00002261"/>
    <w:rsid w:val="00006668"/>
    <w:rsid w:val="00010311"/>
    <w:rsid w:val="00010A5A"/>
    <w:rsid w:val="00026F31"/>
    <w:rsid w:val="00071A7C"/>
    <w:rsid w:val="00084769"/>
    <w:rsid w:val="00090D3E"/>
    <w:rsid w:val="000977A7"/>
    <w:rsid w:val="000A15F0"/>
    <w:rsid w:val="000B0327"/>
    <w:rsid w:val="000B15D6"/>
    <w:rsid w:val="000B77D9"/>
    <w:rsid w:val="000C110A"/>
    <w:rsid w:val="000E0EDE"/>
    <w:rsid w:val="000E384C"/>
    <w:rsid w:val="000E3E65"/>
    <w:rsid w:val="000E6658"/>
    <w:rsid w:val="000F1604"/>
    <w:rsid w:val="00102AFC"/>
    <w:rsid w:val="00105C28"/>
    <w:rsid w:val="00107753"/>
    <w:rsid w:val="00107E73"/>
    <w:rsid w:val="00116B63"/>
    <w:rsid w:val="00127635"/>
    <w:rsid w:val="00130E44"/>
    <w:rsid w:val="00130F0B"/>
    <w:rsid w:val="00135B3E"/>
    <w:rsid w:val="00145962"/>
    <w:rsid w:val="00150FAD"/>
    <w:rsid w:val="00152848"/>
    <w:rsid w:val="00153C9F"/>
    <w:rsid w:val="00157C4B"/>
    <w:rsid w:val="00160BE8"/>
    <w:rsid w:val="0016161D"/>
    <w:rsid w:val="00164895"/>
    <w:rsid w:val="001655C2"/>
    <w:rsid w:val="00175D3F"/>
    <w:rsid w:val="00182383"/>
    <w:rsid w:val="0018325C"/>
    <w:rsid w:val="00183D9A"/>
    <w:rsid w:val="001930B5"/>
    <w:rsid w:val="001966B4"/>
    <w:rsid w:val="001A2F62"/>
    <w:rsid w:val="001A3E0F"/>
    <w:rsid w:val="001A4CDB"/>
    <w:rsid w:val="001C1399"/>
    <w:rsid w:val="001C3C32"/>
    <w:rsid w:val="001C4E34"/>
    <w:rsid w:val="001C6589"/>
    <w:rsid w:val="001C7C17"/>
    <w:rsid w:val="001D4234"/>
    <w:rsid w:val="001F4628"/>
    <w:rsid w:val="002077FB"/>
    <w:rsid w:val="002219A0"/>
    <w:rsid w:val="00232069"/>
    <w:rsid w:val="002351C0"/>
    <w:rsid w:val="002427F2"/>
    <w:rsid w:val="002527F3"/>
    <w:rsid w:val="002557D4"/>
    <w:rsid w:val="0026481D"/>
    <w:rsid w:val="00265D54"/>
    <w:rsid w:val="00266096"/>
    <w:rsid w:val="00267E48"/>
    <w:rsid w:val="0027777D"/>
    <w:rsid w:val="002830DD"/>
    <w:rsid w:val="0028386D"/>
    <w:rsid w:val="00285A22"/>
    <w:rsid w:val="00287576"/>
    <w:rsid w:val="0029030A"/>
    <w:rsid w:val="002A1455"/>
    <w:rsid w:val="002A3DED"/>
    <w:rsid w:val="002B39FE"/>
    <w:rsid w:val="002D1C0F"/>
    <w:rsid w:val="002D7B1A"/>
    <w:rsid w:val="002E339B"/>
    <w:rsid w:val="002F133F"/>
    <w:rsid w:val="002F3549"/>
    <w:rsid w:val="002F3F4F"/>
    <w:rsid w:val="0030081C"/>
    <w:rsid w:val="00312841"/>
    <w:rsid w:val="0031656C"/>
    <w:rsid w:val="0032210E"/>
    <w:rsid w:val="003227B0"/>
    <w:rsid w:val="00323AE2"/>
    <w:rsid w:val="00341B93"/>
    <w:rsid w:val="00342ED4"/>
    <w:rsid w:val="00351DEE"/>
    <w:rsid w:val="00352008"/>
    <w:rsid w:val="00356AF8"/>
    <w:rsid w:val="00356FF1"/>
    <w:rsid w:val="00375322"/>
    <w:rsid w:val="00375D6E"/>
    <w:rsid w:val="00376B40"/>
    <w:rsid w:val="00386B2E"/>
    <w:rsid w:val="00391775"/>
    <w:rsid w:val="003A764F"/>
    <w:rsid w:val="003B7113"/>
    <w:rsid w:val="003C3531"/>
    <w:rsid w:val="003C3D6A"/>
    <w:rsid w:val="003C5569"/>
    <w:rsid w:val="003D69E2"/>
    <w:rsid w:val="003D77D0"/>
    <w:rsid w:val="003E6B97"/>
    <w:rsid w:val="003F0805"/>
    <w:rsid w:val="003F0943"/>
    <w:rsid w:val="003F49C0"/>
    <w:rsid w:val="00402FA0"/>
    <w:rsid w:val="00406075"/>
    <w:rsid w:val="00410D5C"/>
    <w:rsid w:val="0041620D"/>
    <w:rsid w:val="00421662"/>
    <w:rsid w:val="004218FE"/>
    <w:rsid w:val="00427390"/>
    <w:rsid w:val="0043381B"/>
    <w:rsid w:val="004367E3"/>
    <w:rsid w:val="00463B03"/>
    <w:rsid w:val="004666A3"/>
    <w:rsid w:val="0047531F"/>
    <w:rsid w:val="00482478"/>
    <w:rsid w:val="004828FC"/>
    <w:rsid w:val="00483B7E"/>
    <w:rsid w:val="00486168"/>
    <w:rsid w:val="004864FD"/>
    <w:rsid w:val="00486CE2"/>
    <w:rsid w:val="004934CD"/>
    <w:rsid w:val="004A21E7"/>
    <w:rsid w:val="004A2350"/>
    <w:rsid w:val="004A543D"/>
    <w:rsid w:val="004A5CFD"/>
    <w:rsid w:val="004B0A00"/>
    <w:rsid w:val="004C29AB"/>
    <w:rsid w:val="004C721F"/>
    <w:rsid w:val="004D1D8D"/>
    <w:rsid w:val="004D246E"/>
    <w:rsid w:val="004D5F3C"/>
    <w:rsid w:val="004E213A"/>
    <w:rsid w:val="004E3E03"/>
    <w:rsid w:val="004E486D"/>
    <w:rsid w:val="004E4A3F"/>
    <w:rsid w:val="004E68F9"/>
    <w:rsid w:val="004E763E"/>
    <w:rsid w:val="00504C09"/>
    <w:rsid w:val="00510147"/>
    <w:rsid w:val="00514F29"/>
    <w:rsid w:val="0052497B"/>
    <w:rsid w:val="00524BA6"/>
    <w:rsid w:val="00524E6A"/>
    <w:rsid w:val="005258D6"/>
    <w:rsid w:val="00526E41"/>
    <w:rsid w:val="0053154D"/>
    <w:rsid w:val="0053185C"/>
    <w:rsid w:val="00534ECD"/>
    <w:rsid w:val="00541C8E"/>
    <w:rsid w:val="00543DD9"/>
    <w:rsid w:val="00543F73"/>
    <w:rsid w:val="00543F78"/>
    <w:rsid w:val="00564CB9"/>
    <w:rsid w:val="00572133"/>
    <w:rsid w:val="00572D39"/>
    <w:rsid w:val="005809A2"/>
    <w:rsid w:val="00580C3F"/>
    <w:rsid w:val="00581C71"/>
    <w:rsid w:val="00582E23"/>
    <w:rsid w:val="0058761C"/>
    <w:rsid w:val="00597B89"/>
    <w:rsid w:val="005A1C81"/>
    <w:rsid w:val="005A6A6A"/>
    <w:rsid w:val="005A6BBD"/>
    <w:rsid w:val="005B1663"/>
    <w:rsid w:val="005C1BCA"/>
    <w:rsid w:val="005C7EFC"/>
    <w:rsid w:val="005D1CF7"/>
    <w:rsid w:val="005D1E23"/>
    <w:rsid w:val="005D3F6F"/>
    <w:rsid w:val="005E0682"/>
    <w:rsid w:val="00600976"/>
    <w:rsid w:val="00600ED7"/>
    <w:rsid w:val="00613F29"/>
    <w:rsid w:val="00615D61"/>
    <w:rsid w:val="00622A9F"/>
    <w:rsid w:val="0063559C"/>
    <w:rsid w:val="00644311"/>
    <w:rsid w:val="00655696"/>
    <w:rsid w:val="006602FD"/>
    <w:rsid w:val="006654CF"/>
    <w:rsid w:val="0066712A"/>
    <w:rsid w:val="006802AA"/>
    <w:rsid w:val="006853C6"/>
    <w:rsid w:val="00687A03"/>
    <w:rsid w:val="006934A2"/>
    <w:rsid w:val="006A140B"/>
    <w:rsid w:val="006A37C8"/>
    <w:rsid w:val="006A39B5"/>
    <w:rsid w:val="006A4F95"/>
    <w:rsid w:val="006A56C2"/>
    <w:rsid w:val="006C074D"/>
    <w:rsid w:val="006C3613"/>
    <w:rsid w:val="006C677F"/>
    <w:rsid w:val="006D29BC"/>
    <w:rsid w:val="006E16E9"/>
    <w:rsid w:val="006E73A8"/>
    <w:rsid w:val="006F373A"/>
    <w:rsid w:val="006F4203"/>
    <w:rsid w:val="007006B9"/>
    <w:rsid w:val="007056AC"/>
    <w:rsid w:val="0071034B"/>
    <w:rsid w:val="00710626"/>
    <w:rsid w:val="007108C1"/>
    <w:rsid w:val="007127A2"/>
    <w:rsid w:val="00720D1F"/>
    <w:rsid w:val="00722990"/>
    <w:rsid w:val="00724161"/>
    <w:rsid w:val="00726BDB"/>
    <w:rsid w:val="007324C4"/>
    <w:rsid w:val="00733C6D"/>
    <w:rsid w:val="00734DB3"/>
    <w:rsid w:val="0073679C"/>
    <w:rsid w:val="007532B9"/>
    <w:rsid w:val="007662B1"/>
    <w:rsid w:val="007742EC"/>
    <w:rsid w:val="00782EE7"/>
    <w:rsid w:val="007929E5"/>
    <w:rsid w:val="00794C07"/>
    <w:rsid w:val="00796D64"/>
    <w:rsid w:val="007A1A45"/>
    <w:rsid w:val="007A2B40"/>
    <w:rsid w:val="007A52C8"/>
    <w:rsid w:val="007A585B"/>
    <w:rsid w:val="007B7627"/>
    <w:rsid w:val="007C1138"/>
    <w:rsid w:val="007C199F"/>
    <w:rsid w:val="007D7E2E"/>
    <w:rsid w:val="007E0C38"/>
    <w:rsid w:val="007E1704"/>
    <w:rsid w:val="007E1864"/>
    <w:rsid w:val="007E2E03"/>
    <w:rsid w:val="007E4994"/>
    <w:rsid w:val="007F0C97"/>
    <w:rsid w:val="008038C2"/>
    <w:rsid w:val="008104F5"/>
    <w:rsid w:val="0081337C"/>
    <w:rsid w:val="00814060"/>
    <w:rsid w:val="008235AB"/>
    <w:rsid w:val="0083548C"/>
    <w:rsid w:val="00844BCB"/>
    <w:rsid w:val="008511F5"/>
    <w:rsid w:val="0085413E"/>
    <w:rsid w:val="0085414B"/>
    <w:rsid w:val="008604F8"/>
    <w:rsid w:val="00867AEC"/>
    <w:rsid w:val="0087081D"/>
    <w:rsid w:val="00870FDE"/>
    <w:rsid w:val="008724F9"/>
    <w:rsid w:val="00874357"/>
    <w:rsid w:val="0087560E"/>
    <w:rsid w:val="00876FAD"/>
    <w:rsid w:val="008905A2"/>
    <w:rsid w:val="008913B4"/>
    <w:rsid w:val="008A0529"/>
    <w:rsid w:val="008A26B7"/>
    <w:rsid w:val="008A5BDC"/>
    <w:rsid w:val="008B1418"/>
    <w:rsid w:val="008C107F"/>
    <w:rsid w:val="008C3CE0"/>
    <w:rsid w:val="008C7967"/>
    <w:rsid w:val="008C7A5A"/>
    <w:rsid w:val="008D198C"/>
    <w:rsid w:val="008D3D73"/>
    <w:rsid w:val="008D466C"/>
    <w:rsid w:val="008F320B"/>
    <w:rsid w:val="008F578F"/>
    <w:rsid w:val="008F72AF"/>
    <w:rsid w:val="00913F20"/>
    <w:rsid w:val="00924E48"/>
    <w:rsid w:val="009250DF"/>
    <w:rsid w:val="00926CC8"/>
    <w:rsid w:val="00932F5F"/>
    <w:rsid w:val="009332FF"/>
    <w:rsid w:val="0093476B"/>
    <w:rsid w:val="00935004"/>
    <w:rsid w:val="0095015F"/>
    <w:rsid w:val="009510EE"/>
    <w:rsid w:val="00953C11"/>
    <w:rsid w:val="00955D5E"/>
    <w:rsid w:val="0095665F"/>
    <w:rsid w:val="00966853"/>
    <w:rsid w:val="00970C44"/>
    <w:rsid w:val="00972D3D"/>
    <w:rsid w:val="00982741"/>
    <w:rsid w:val="009852BE"/>
    <w:rsid w:val="009867F6"/>
    <w:rsid w:val="009A31C9"/>
    <w:rsid w:val="009A36CC"/>
    <w:rsid w:val="009A5129"/>
    <w:rsid w:val="009B2759"/>
    <w:rsid w:val="009B39D9"/>
    <w:rsid w:val="009B4338"/>
    <w:rsid w:val="009B79A1"/>
    <w:rsid w:val="009C0FF3"/>
    <w:rsid w:val="009C52D0"/>
    <w:rsid w:val="009C7B79"/>
    <w:rsid w:val="009D2096"/>
    <w:rsid w:val="009D38C0"/>
    <w:rsid w:val="009D3E86"/>
    <w:rsid w:val="009D5E8D"/>
    <w:rsid w:val="009D71BA"/>
    <w:rsid w:val="009D7FC2"/>
    <w:rsid w:val="009E07DF"/>
    <w:rsid w:val="009E0F6A"/>
    <w:rsid w:val="009E7F1D"/>
    <w:rsid w:val="009F155A"/>
    <w:rsid w:val="009F77DD"/>
    <w:rsid w:val="00A04D9E"/>
    <w:rsid w:val="00A10035"/>
    <w:rsid w:val="00A1617C"/>
    <w:rsid w:val="00A329F1"/>
    <w:rsid w:val="00A36AEA"/>
    <w:rsid w:val="00A36EAD"/>
    <w:rsid w:val="00A448E4"/>
    <w:rsid w:val="00A47E91"/>
    <w:rsid w:val="00A52841"/>
    <w:rsid w:val="00A70958"/>
    <w:rsid w:val="00A76B2D"/>
    <w:rsid w:val="00A80B2A"/>
    <w:rsid w:val="00A82D8F"/>
    <w:rsid w:val="00A83BEE"/>
    <w:rsid w:val="00A84959"/>
    <w:rsid w:val="00A8629F"/>
    <w:rsid w:val="00A91427"/>
    <w:rsid w:val="00A929F2"/>
    <w:rsid w:val="00A96E42"/>
    <w:rsid w:val="00AA3A3B"/>
    <w:rsid w:val="00AA3F34"/>
    <w:rsid w:val="00AA5D14"/>
    <w:rsid w:val="00AA76EC"/>
    <w:rsid w:val="00AB1B03"/>
    <w:rsid w:val="00AB2045"/>
    <w:rsid w:val="00AB350B"/>
    <w:rsid w:val="00AB4C30"/>
    <w:rsid w:val="00AB5289"/>
    <w:rsid w:val="00AD1897"/>
    <w:rsid w:val="00AD4741"/>
    <w:rsid w:val="00AD4889"/>
    <w:rsid w:val="00AD57C3"/>
    <w:rsid w:val="00AE30B1"/>
    <w:rsid w:val="00AF30C4"/>
    <w:rsid w:val="00AF37ED"/>
    <w:rsid w:val="00AF548C"/>
    <w:rsid w:val="00AF6155"/>
    <w:rsid w:val="00B11E0B"/>
    <w:rsid w:val="00B16760"/>
    <w:rsid w:val="00B306D2"/>
    <w:rsid w:val="00B330D8"/>
    <w:rsid w:val="00B3388F"/>
    <w:rsid w:val="00B34C3D"/>
    <w:rsid w:val="00B34CED"/>
    <w:rsid w:val="00B35071"/>
    <w:rsid w:val="00B350A1"/>
    <w:rsid w:val="00B41F73"/>
    <w:rsid w:val="00B422F1"/>
    <w:rsid w:val="00B42E6D"/>
    <w:rsid w:val="00B43EB7"/>
    <w:rsid w:val="00B4445E"/>
    <w:rsid w:val="00B5492C"/>
    <w:rsid w:val="00B56EA7"/>
    <w:rsid w:val="00B57961"/>
    <w:rsid w:val="00B63A3E"/>
    <w:rsid w:val="00B66C32"/>
    <w:rsid w:val="00B756E4"/>
    <w:rsid w:val="00B75D51"/>
    <w:rsid w:val="00B76684"/>
    <w:rsid w:val="00B80D84"/>
    <w:rsid w:val="00B8120A"/>
    <w:rsid w:val="00B83208"/>
    <w:rsid w:val="00B838B3"/>
    <w:rsid w:val="00B84DA2"/>
    <w:rsid w:val="00B852DB"/>
    <w:rsid w:val="00B94934"/>
    <w:rsid w:val="00BA0C2E"/>
    <w:rsid w:val="00BA4E39"/>
    <w:rsid w:val="00BA53B2"/>
    <w:rsid w:val="00BC1E96"/>
    <w:rsid w:val="00BC20EA"/>
    <w:rsid w:val="00BC2242"/>
    <w:rsid w:val="00BD5544"/>
    <w:rsid w:val="00BD7A42"/>
    <w:rsid w:val="00BE109B"/>
    <w:rsid w:val="00BE3E84"/>
    <w:rsid w:val="00BE7060"/>
    <w:rsid w:val="00BE7F87"/>
    <w:rsid w:val="00BF1FF6"/>
    <w:rsid w:val="00BF648F"/>
    <w:rsid w:val="00C012CF"/>
    <w:rsid w:val="00C028C0"/>
    <w:rsid w:val="00C1623B"/>
    <w:rsid w:val="00C2160F"/>
    <w:rsid w:val="00C220FB"/>
    <w:rsid w:val="00C22372"/>
    <w:rsid w:val="00C31945"/>
    <w:rsid w:val="00C34C6A"/>
    <w:rsid w:val="00C52B9B"/>
    <w:rsid w:val="00C54FC7"/>
    <w:rsid w:val="00C55BCB"/>
    <w:rsid w:val="00C571A6"/>
    <w:rsid w:val="00C625C2"/>
    <w:rsid w:val="00C70E8D"/>
    <w:rsid w:val="00C7529D"/>
    <w:rsid w:val="00C84ABD"/>
    <w:rsid w:val="00C943D6"/>
    <w:rsid w:val="00C97740"/>
    <w:rsid w:val="00CA37AF"/>
    <w:rsid w:val="00CB013C"/>
    <w:rsid w:val="00CB5168"/>
    <w:rsid w:val="00CC554D"/>
    <w:rsid w:val="00CC6DAE"/>
    <w:rsid w:val="00CD0A7C"/>
    <w:rsid w:val="00CD25F0"/>
    <w:rsid w:val="00CD7C53"/>
    <w:rsid w:val="00CE00BC"/>
    <w:rsid w:val="00CE1E7A"/>
    <w:rsid w:val="00CE41E5"/>
    <w:rsid w:val="00CF3D17"/>
    <w:rsid w:val="00D00971"/>
    <w:rsid w:val="00D00E42"/>
    <w:rsid w:val="00D04476"/>
    <w:rsid w:val="00D057A9"/>
    <w:rsid w:val="00D06C75"/>
    <w:rsid w:val="00D07863"/>
    <w:rsid w:val="00D25A23"/>
    <w:rsid w:val="00D32CC2"/>
    <w:rsid w:val="00D47CE4"/>
    <w:rsid w:val="00D54837"/>
    <w:rsid w:val="00D56772"/>
    <w:rsid w:val="00D61B9E"/>
    <w:rsid w:val="00D643BB"/>
    <w:rsid w:val="00D713E9"/>
    <w:rsid w:val="00D72F50"/>
    <w:rsid w:val="00D77718"/>
    <w:rsid w:val="00D80DDB"/>
    <w:rsid w:val="00D87778"/>
    <w:rsid w:val="00D90A4F"/>
    <w:rsid w:val="00D91F87"/>
    <w:rsid w:val="00D96179"/>
    <w:rsid w:val="00D97116"/>
    <w:rsid w:val="00DA2C30"/>
    <w:rsid w:val="00DA7DDF"/>
    <w:rsid w:val="00DB399B"/>
    <w:rsid w:val="00DB47E2"/>
    <w:rsid w:val="00DC14E9"/>
    <w:rsid w:val="00DC599D"/>
    <w:rsid w:val="00DD212A"/>
    <w:rsid w:val="00DD3895"/>
    <w:rsid w:val="00DD4061"/>
    <w:rsid w:val="00DE0CBA"/>
    <w:rsid w:val="00DE3004"/>
    <w:rsid w:val="00DE466A"/>
    <w:rsid w:val="00DE6277"/>
    <w:rsid w:val="00DF5076"/>
    <w:rsid w:val="00DF7909"/>
    <w:rsid w:val="00DF7E58"/>
    <w:rsid w:val="00E001C8"/>
    <w:rsid w:val="00E00A44"/>
    <w:rsid w:val="00E034DF"/>
    <w:rsid w:val="00E045DF"/>
    <w:rsid w:val="00E052C4"/>
    <w:rsid w:val="00E0601B"/>
    <w:rsid w:val="00E06CE4"/>
    <w:rsid w:val="00E1179B"/>
    <w:rsid w:val="00E15AA6"/>
    <w:rsid w:val="00E205C6"/>
    <w:rsid w:val="00E25EBE"/>
    <w:rsid w:val="00E25F4C"/>
    <w:rsid w:val="00E308F2"/>
    <w:rsid w:val="00E32837"/>
    <w:rsid w:val="00E32D9C"/>
    <w:rsid w:val="00E363E1"/>
    <w:rsid w:val="00E366D9"/>
    <w:rsid w:val="00E47B12"/>
    <w:rsid w:val="00E54551"/>
    <w:rsid w:val="00E54C8D"/>
    <w:rsid w:val="00E55676"/>
    <w:rsid w:val="00E57A60"/>
    <w:rsid w:val="00E61ABD"/>
    <w:rsid w:val="00E622EF"/>
    <w:rsid w:val="00E65FB8"/>
    <w:rsid w:val="00E70DFB"/>
    <w:rsid w:val="00E71F90"/>
    <w:rsid w:val="00E76E51"/>
    <w:rsid w:val="00E810F4"/>
    <w:rsid w:val="00E85AF7"/>
    <w:rsid w:val="00E863C3"/>
    <w:rsid w:val="00E86E7F"/>
    <w:rsid w:val="00E92599"/>
    <w:rsid w:val="00E92861"/>
    <w:rsid w:val="00EA449D"/>
    <w:rsid w:val="00ED3D06"/>
    <w:rsid w:val="00ED7EA0"/>
    <w:rsid w:val="00EE128D"/>
    <w:rsid w:val="00EE3F3E"/>
    <w:rsid w:val="00EF013E"/>
    <w:rsid w:val="00F2634B"/>
    <w:rsid w:val="00F27266"/>
    <w:rsid w:val="00F32DBB"/>
    <w:rsid w:val="00F366B4"/>
    <w:rsid w:val="00F40480"/>
    <w:rsid w:val="00F410F6"/>
    <w:rsid w:val="00F52023"/>
    <w:rsid w:val="00F6118C"/>
    <w:rsid w:val="00F64681"/>
    <w:rsid w:val="00F64B5F"/>
    <w:rsid w:val="00F669D0"/>
    <w:rsid w:val="00F8740D"/>
    <w:rsid w:val="00F90B31"/>
    <w:rsid w:val="00F93E4E"/>
    <w:rsid w:val="00FB2BDF"/>
    <w:rsid w:val="00FB376E"/>
    <w:rsid w:val="00FB58BA"/>
    <w:rsid w:val="00FC657A"/>
    <w:rsid w:val="00FC7BC5"/>
    <w:rsid w:val="00FE0DD9"/>
    <w:rsid w:val="00FE2A4D"/>
    <w:rsid w:val="00FF045B"/>
    <w:rsid w:val="00FF230F"/>
    <w:rsid w:val="00FF365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E94C31"/>
  <w15:docId w15:val="{AFD660A8-481A-4621-8279-34E3580E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4-TEXTE COURANT"/>
    <w:qFormat/>
    <w:rsid w:val="00AA76EC"/>
    <w:pPr>
      <w:ind w:left="709"/>
      <w:jc w:val="both"/>
    </w:pPr>
    <w:rPr>
      <w:rFonts w:ascii="Century Gothic" w:hAnsi="Century Gothic"/>
      <w:sz w:val="18"/>
      <w:szCs w:val="24"/>
    </w:rPr>
  </w:style>
  <w:style w:type="paragraph" w:styleId="Titre1">
    <w:name w:val="heading 1"/>
    <w:aliases w:val="5-PUCES"/>
    <w:basedOn w:val="Normal"/>
    <w:next w:val="Normal"/>
    <w:autoRedefine/>
    <w:qFormat/>
    <w:rsid w:val="00C943D6"/>
    <w:pPr>
      <w:keepNext/>
      <w:numPr>
        <w:numId w:val="38"/>
      </w:numPr>
      <w:spacing w:before="60" w:after="60"/>
      <w:ind w:right="-7"/>
      <w:contextualSpacing/>
      <w:outlineLvl w:val="0"/>
    </w:pPr>
  </w:style>
  <w:style w:type="paragraph" w:styleId="Titre2">
    <w:name w:val="heading 2"/>
    <w:basedOn w:val="Normal"/>
    <w:next w:val="Normal"/>
    <w:pPr>
      <w:keepNext/>
      <w:ind w:left="-57" w:right="-426"/>
      <w:outlineLvl w:val="1"/>
    </w:pPr>
    <w:rPr>
      <w:rFonts w:ascii="Trebuchet MS" w:hAnsi="Trebuchet MS"/>
      <w:i/>
      <w:sz w:val="20"/>
      <w:u w:val="single"/>
    </w:rPr>
  </w:style>
  <w:style w:type="paragraph" w:styleId="Titre3">
    <w:name w:val="heading 3"/>
    <w:basedOn w:val="Normal"/>
    <w:next w:val="Normal"/>
    <w:pPr>
      <w:keepNext/>
      <w:ind w:left="-57" w:right="-433" w:firstLine="709"/>
      <w:outlineLvl w:val="2"/>
    </w:pPr>
    <w:rPr>
      <w:rFonts w:ascii="Trebuchet MS" w:hAnsi="Trebuchet MS"/>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En-tte">
    <w:name w:val="header"/>
    <w:basedOn w:val="Normal"/>
    <w:link w:val="En-tteCar"/>
    <w:autoRedefine/>
    <w:rsid w:val="00CD7C53"/>
    <w:pPr>
      <w:tabs>
        <w:tab w:val="center" w:pos="4536"/>
        <w:tab w:val="right" w:pos="9072"/>
      </w:tabs>
    </w:pPr>
    <w:rPr>
      <w:sz w:val="14"/>
    </w:rPr>
  </w:style>
  <w:style w:type="character" w:customStyle="1" w:styleId="En-tteCar">
    <w:name w:val="En-tête Car"/>
    <w:basedOn w:val="Policepardfaut"/>
    <w:link w:val="En-tte"/>
    <w:rsid w:val="00CD7C53"/>
    <w:rPr>
      <w:rFonts w:ascii="Century Gothic" w:hAnsi="Century Gothic"/>
      <w:sz w:val="14"/>
      <w:szCs w:val="24"/>
    </w:rPr>
  </w:style>
  <w:style w:type="paragraph" w:styleId="Pieddepage">
    <w:name w:val="footer"/>
    <w:basedOn w:val="Normal"/>
    <w:link w:val="PieddepageCar"/>
    <w:autoRedefine/>
    <w:uiPriority w:val="99"/>
    <w:rsid w:val="00152848"/>
    <w:pPr>
      <w:ind w:left="0"/>
      <w:jc w:val="right"/>
    </w:pPr>
    <w:rPr>
      <w:sz w:val="14"/>
    </w:rPr>
  </w:style>
  <w:style w:type="character" w:customStyle="1" w:styleId="PieddepageCar">
    <w:name w:val="Pied de page Car"/>
    <w:basedOn w:val="Policepardfaut"/>
    <w:link w:val="Pieddepage"/>
    <w:uiPriority w:val="99"/>
    <w:rsid w:val="00152848"/>
    <w:rPr>
      <w:rFonts w:ascii="Century Gothic" w:hAnsi="Century Gothic"/>
      <w:sz w:val="14"/>
      <w:szCs w:val="24"/>
    </w:rPr>
  </w:style>
  <w:style w:type="table" w:styleId="Grilledutableau">
    <w:name w:val="Table Grid"/>
    <w:basedOn w:val="TableauNormal"/>
    <w:rsid w:val="00BC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TITRE3">
    <w:name w:val="3-TITRE 3"/>
    <w:basedOn w:val="Normal"/>
    <w:next w:val="Normal"/>
    <w:qFormat/>
    <w:rsid w:val="00C943D6"/>
    <w:pPr>
      <w:spacing w:before="60" w:after="60"/>
      <w:ind w:left="0"/>
      <w:contextualSpacing/>
    </w:pPr>
    <w:rPr>
      <w:color w:val="5C2D91"/>
    </w:rPr>
  </w:style>
  <w:style w:type="paragraph" w:styleId="Textedebulles">
    <w:name w:val="Balloon Text"/>
    <w:basedOn w:val="Normal"/>
    <w:semiHidden/>
    <w:rsid w:val="00E71F90"/>
    <w:rPr>
      <w:rFonts w:ascii="Tahoma" w:hAnsi="Tahoma"/>
      <w:sz w:val="16"/>
      <w:szCs w:val="16"/>
    </w:rPr>
  </w:style>
  <w:style w:type="paragraph" w:customStyle="1" w:styleId="0-TITRERAPPORT">
    <w:name w:val="0-TITRE RAPPORT"/>
    <w:basedOn w:val="Normal"/>
    <w:autoRedefine/>
    <w:qFormat/>
    <w:rsid w:val="00AA76EC"/>
    <w:pPr>
      <w:framePr w:hSpace="141" w:wrap="around" w:vAnchor="text" w:hAnchor="margin" w:xAlign="right" w:y="2979"/>
      <w:ind w:left="0"/>
      <w:jc w:val="left"/>
    </w:pPr>
    <w:rPr>
      <w:rFonts w:eastAsia="MS Mincho"/>
      <w:caps/>
      <w:color w:val="5C2D91"/>
      <w:sz w:val="52"/>
      <w:szCs w:val="52"/>
      <w:lang w:eastAsia="ja-JP"/>
    </w:rPr>
  </w:style>
  <w:style w:type="paragraph" w:customStyle="1" w:styleId="1-TITRE1">
    <w:name w:val="1-TITRE 1"/>
    <w:basedOn w:val="Normal"/>
    <w:next w:val="Normal"/>
    <w:autoRedefine/>
    <w:qFormat/>
    <w:rsid w:val="00C943D6"/>
    <w:pPr>
      <w:spacing w:before="160" w:after="160"/>
      <w:ind w:left="0"/>
    </w:pPr>
    <w:rPr>
      <w:rFonts w:eastAsia="Times"/>
      <w:caps/>
      <w:noProof/>
      <w:color w:val="ED145B"/>
      <w:w w:val="105"/>
      <w:sz w:val="24"/>
      <w:szCs w:val="32"/>
    </w:rPr>
  </w:style>
  <w:style w:type="paragraph" w:customStyle="1" w:styleId="2-TITRE2">
    <w:name w:val="2-TITRE 2"/>
    <w:basedOn w:val="Normal"/>
    <w:next w:val="Normal"/>
    <w:qFormat/>
    <w:rsid w:val="00C943D6"/>
    <w:pPr>
      <w:spacing w:before="60" w:after="60"/>
      <w:ind w:left="0"/>
    </w:pPr>
    <w:rPr>
      <w:b/>
      <w:color w:val="5C2D91"/>
      <w:sz w:val="22"/>
      <w:szCs w:val="18"/>
    </w:rPr>
  </w:style>
  <w:style w:type="numbering" w:customStyle="1" w:styleId="Hcrestabledesmatires">
    <w:name w:val="Hcéres table des matières"/>
    <w:uiPriority w:val="99"/>
    <w:rsid w:val="00CD0A7C"/>
    <w:pPr>
      <w:numPr>
        <w:numId w:val="33"/>
      </w:numPr>
    </w:pPr>
  </w:style>
  <w:style w:type="paragraph" w:styleId="En-ttedetabledesmatires">
    <w:name w:val="TOC Heading"/>
    <w:basedOn w:val="Titre1"/>
    <w:next w:val="Normal"/>
    <w:uiPriority w:val="39"/>
    <w:unhideWhenUsed/>
    <w:rsid w:val="004D1D8D"/>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 w:val="28"/>
      <w:szCs w:val="28"/>
    </w:rPr>
  </w:style>
  <w:style w:type="paragraph" w:customStyle="1" w:styleId="F-TextePAO">
    <w:name w:val="F-Texte PAO"/>
    <w:next w:val="Normal"/>
    <w:link w:val="F-TextePAOCar"/>
    <w:rsid w:val="00B34C3D"/>
    <w:pPr>
      <w:spacing w:before="170" w:line="240" w:lineRule="exact"/>
      <w:ind w:firstLine="567"/>
      <w:jc w:val="both"/>
    </w:pPr>
    <w:rPr>
      <w:rFonts w:ascii="Trebuchet MS" w:eastAsia="Times" w:hAnsi="Trebuchet MS"/>
      <w:sz w:val="18"/>
      <w:lang w:eastAsia="fr-FR"/>
    </w:rPr>
  </w:style>
  <w:style w:type="character" w:customStyle="1" w:styleId="F-TextePAOCar">
    <w:name w:val="F-Texte PAO Car"/>
    <w:link w:val="F-TextePAO"/>
    <w:rsid w:val="00B34C3D"/>
    <w:rPr>
      <w:rFonts w:ascii="Trebuchet MS" w:eastAsia="Times" w:hAnsi="Trebuchet MS"/>
      <w:sz w:val="18"/>
      <w:lang w:eastAsia="fr-FR"/>
    </w:rPr>
  </w:style>
  <w:style w:type="paragraph" w:customStyle="1" w:styleId="5-POINTSFORTSETFAIBLES">
    <w:name w:val="5-POINTS FORTS ET FAIBLES"/>
    <w:basedOn w:val="Normal"/>
    <w:qFormat/>
    <w:rsid w:val="00B34C3D"/>
    <w:pPr>
      <w:spacing w:before="200" w:line="240" w:lineRule="exact"/>
      <w:ind w:left="0"/>
    </w:pPr>
    <w:rPr>
      <w:rFonts w:ascii="Trebuchet MS" w:hAnsi="Trebuchet MS"/>
      <w:szCs w:val="18"/>
      <w:lang w:eastAsia="fr-FR"/>
    </w:rPr>
  </w:style>
  <w:style w:type="paragraph" w:customStyle="1" w:styleId="1-TITREPAO">
    <w:name w:val="1-TITRE PAO"/>
    <w:basedOn w:val="Normal"/>
    <w:qFormat/>
    <w:rsid w:val="00B34C3D"/>
    <w:pPr>
      <w:pBdr>
        <w:left w:val="single" w:sz="18" w:space="4" w:color="FF0066"/>
      </w:pBdr>
      <w:spacing w:before="160" w:after="160"/>
      <w:ind w:left="0"/>
    </w:pPr>
    <w:rPr>
      <w:rFonts w:eastAsia="Times"/>
      <w:noProof/>
      <w:color w:val="4A4F54"/>
      <w:w w:val="105"/>
      <w:sz w:val="32"/>
      <w:szCs w:val="32"/>
      <w:lang w:eastAsia="fr-FR"/>
    </w:rPr>
  </w:style>
  <w:style w:type="paragraph" w:customStyle="1" w:styleId="2-SOUS-TITREPAO">
    <w:name w:val="2-SOUS-TITRE PAO"/>
    <w:next w:val="Normal"/>
    <w:rsid w:val="00B34C3D"/>
    <w:pPr>
      <w:widowControl w:val="0"/>
      <w:spacing w:before="200" w:line="240" w:lineRule="exact"/>
      <w:jc w:val="both"/>
    </w:pPr>
    <w:rPr>
      <w:rFonts w:ascii="Century Gothic" w:eastAsia="Times" w:hAnsi="Century Gothic"/>
      <w:noProof/>
      <w:color w:val="FF0066"/>
      <w:lang w:eastAsia="fr-FR"/>
    </w:rPr>
  </w:style>
  <w:style w:type="paragraph" w:customStyle="1" w:styleId="4-TextePAO">
    <w:name w:val="4-Texte PAO"/>
    <w:next w:val="Normal"/>
    <w:link w:val="4-TextePAOCar"/>
    <w:rsid w:val="00B34C3D"/>
    <w:pPr>
      <w:spacing w:before="170" w:line="240" w:lineRule="exact"/>
      <w:ind w:firstLine="567"/>
      <w:jc w:val="both"/>
    </w:pPr>
    <w:rPr>
      <w:rFonts w:ascii="Trebuchet MS" w:eastAsia="Times" w:hAnsi="Trebuchet MS"/>
      <w:noProof/>
      <w:sz w:val="18"/>
      <w:lang w:eastAsia="fr-FR"/>
    </w:rPr>
  </w:style>
  <w:style w:type="character" w:customStyle="1" w:styleId="4-TextePAOCar">
    <w:name w:val="4-Texte PAO Car"/>
    <w:link w:val="4-TextePAO"/>
    <w:rsid w:val="00B34C3D"/>
    <w:rPr>
      <w:rFonts w:ascii="Trebuchet MS" w:eastAsia="Times" w:hAnsi="Trebuchet MS"/>
      <w:noProof/>
      <w:sz w:val="18"/>
      <w:lang w:eastAsia="fr-FR"/>
    </w:rPr>
  </w:style>
  <w:style w:type="character" w:styleId="Marquedecommentaire">
    <w:name w:val="annotation reference"/>
    <w:basedOn w:val="Policepardfaut"/>
    <w:semiHidden/>
    <w:unhideWhenUsed/>
    <w:rsid w:val="005C7EFC"/>
    <w:rPr>
      <w:sz w:val="16"/>
      <w:szCs w:val="16"/>
    </w:rPr>
  </w:style>
  <w:style w:type="paragraph" w:styleId="Commentaire">
    <w:name w:val="annotation text"/>
    <w:basedOn w:val="Normal"/>
    <w:link w:val="CommentaireCar"/>
    <w:semiHidden/>
    <w:unhideWhenUsed/>
    <w:rsid w:val="005C7EFC"/>
    <w:rPr>
      <w:sz w:val="20"/>
      <w:szCs w:val="20"/>
    </w:rPr>
  </w:style>
  <w:style w:type="character" w:customStyle="1" w:styleId="CommentaireCar">
    <w:name w:val="Commentaire Car"/>
    <w:basedOn w:val="Policepardfaut"/>
    <w:link w:val="Commentaire"/>
    <w:semiHidden/>
    <w:rsid w:val="005C7EFC"/>
    <w:rPr>
      <w:rFonts w:ascii="Century Gothic" w:hAnsi="Century Gothic"/>
    </w:rPr>
  </w:style>
  <w:style w:type="paragraph" w:styleId="Objetducommentaire">
    <w:name w:val="annotation subject"/>
    <w:basedOn w:val="Commentaire"/>
    <w:next w:val="Commentaire"/>
    <w:link w:val="ObjetducommentaireCar"/>
    <w:semiHidden/>
    <w:unhideWhenUsed/>
    <w:rsid w:val="005C7EFC"/>
    <w:rPr>
      <w:b/>
      <w:bCs/>
    </w:rPr>
  </w:style>
  <w:style w:type="character" w:customStyle="1" w:styleId="ObjetducommentaireCar">
    <w:name w:val="Objet du commentaire Car"/>
    <w:basedOn w:val="CommentaireCar"/>
    <w:link w:val="Objetducommentaire"/>
    <w:semiHidden/>
    <w:rsid w:val="005C7EFC"/>
    <w:rPr>
      <w:rFonts w:ascii="Century Gothic" w:hAnsi="Century Gothic"/>
      <w:b/>
      <w:bCs/>
    </w:rPr>
  </w:style>
  <w:style w:type="paragraph" w:styleId="Paragraphedeliste">
    <w:name w:val="List Paragraph"/>
    <w:basedOn w:val="Normal"/>
    <w:qFormat/>
    <w:rsid w:val="001D4234"/>
    <w:pPr>
      <w:ind w:left="720"/>
      <w:contextualSpacing/>
      <w:jc w:val="left"/>
    </w:pPr>
    <w:rPr>
      <w:rFonts w:asciiTheme="minorHAnsi" w:eastAsiaTheme="minorHAnsi" w:hAnsiTheme="minorHAnsi" w:cstheme="minorBidi"/>
      <w:sz w:val="24"/>
    </w:rPr>
  </w:style>
  <w:style w:type="paragraph" w:customStyle="1" w:styleId="Default">
    <w:name w:val="Default"/>
    <w:rsid w:val="00A04D9E"/>
    <w:pPr>
      <w:autoSpaceDE w:val="0"/>
      <w:autoSpaceDN w:val="0"/>
      <w:adjustRightInd w:val="0"/>
    </w:pPr>
    <w:rPr>
      <w:rFonts w:ascii="Century Gothic" w:hAnsi="Century Gothic" w:cs="Century Gothic"/>
      <w:color w:val="000000"/>
      <w:sz w:val="24"/>
      <w:szCs w:val="24"/>
    </w:rPr>
  </w:style>
  <w:style w:type="table" w:customStyle="1" w:styleId="Grilledutableau1">
    <w:name w:val="Grille du tableau1"/>
    <w:basedOn w:val="TableauNormal"/>
    <w:next w:val="Grilledutableau"/>
    <w:rsid w:val="00A86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M1">
    <w:name w:val="toc 1"/>
    <w:basedOn w:val="Normal"/>
    <w:next w:val="Normal"/>
    <w:autoRedefine/>
    <w:uiPriority w:val="39"/>
    <w:semiHidden/>
    <w:unhideWhenUsed/>
    <w:rsid w:val="00AF30C4"/>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4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D07D4-B588-43AC-8376-3D003634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2230</Words>
  <Characters>12626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AGENCE D’ÉVALUATION DE L’ENSEIGNEMENT SUPERIEUR</vt:lpstr>
    </vt:vector>
  </TitlesOfParts>
  <Company>Ministere de l'Education Nationale</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DAE 31 - Trame du rapport d'autoévaluation d'une formation du 3e cycle</dc:title>
  <dc:creator>Sandrine Leboucher</dc:creator>
  <cp:lastModifiedBy>LAURA THOR</cp:lastModifiedBy>
  <cp:revision>5</cp:revision>
  <cp:lastPrinted>2017-07-24T13:54:00Z</cp:lastPrinted>
  <dcterms:created xsi:type="dcterms:W3CDTF">2023-09-20T21:35:00Z</dcterms:created>
  <dcterms:modified xsi:type="dcterms:W3CDTF">2023-09-26T13:13:00Z</dcterms:modified>
</cp:coreProperties>
</file>