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3BE6F" w14:textId="6E1EB1CC" w:rsidR="00AA5AF1" w:rsidRPr="00AA5AF1" w:rsidRDefault="00AA5AF1" w:rsidP="00AA5AF1">
      <w:pPr>
        <w:ind w:left="0"/>
        <w:rPr>
          <w:i/>
        </w:rPr>
      </w:pPr>
      <w:bookmarkStart w:id="0" w:name="_Toc86240357"/>
      <w:bookmarkStart w:id="1" w:name="_Toc86336378"/>
      <w:r w:rsidRPr="00AA5AF1">
        <w:rPr>
          <w:i/>
        </w:rPr>
        <w:t>Nota : Les attentes concernant l’organisation du dossier d’</w:t>
      </w:r>
      <w:proofErr w:type="spellStart"/>
      <w:r w:rsidRPr="00AA5AF1">
        <w:rPr>
          <w:i/>
        </w:rPr>
        <w:t>autoévaluation</w:t>
      </w:r>
      <w:proofErr w:type="spellEnd"/>
      <w:r w:rsidRPr="00AA5AF1">
        <w:rPr>
          <w:i/>
        </w:rPr>
        <w:t xml:space="preserve"> (DAE) sont les suivantes</w:t>
      </w:r>
      <w:r>
        <w:rPr>
          <w:i/>
        </w:rPr>
        <w:t xml:space="preserve"> (on se référera au document « </w:t>
      </w:r>
      <w:r w:rsidR="007D581A">
        <w:rPr>
          <w:i/>
        </w:rPr>
        <w:t>R</w:t>
      </w:r>
      <w:r>
        <w:rPr>
          <w:i/>
        </w:rPr>
        <w:t>epères pour l’</w:t>
      </w:r>
      <w:proofErr w:type="spellStart"/>
      <w:r>
        <w:rPr>
          <w:i/>
        </w:rPr>
        <w:t>autoévaluation</w:t>
      </w:r>
      <w:proofErr w:type="spellEnd"/>
      <w:r w:rsidR="00B6662C">
        <w:rPr>
          <w:i/>
        </w:rPr>
        <w:t xml:space="preserve"> des écoles d’art et de design</w:t>
      </w:r>
      <w:r w:rsidR="00D3574C">
        <w:rPr>
          <w:i/>
        </w:rPr>
        <w:t> »</w:t>
      </w:r>
      <w:r>
        <w:rPr>
          <w:i/>
        </w:rPr>
        <w:t xml:space="preserve"> pour plus de détail)</w:t>
      </w:r>
      <w:r w:rsidRPr="00AA5AF1">
        <w:rPr>
          <w:i/>
        </w:rPr>
        <w:t xml:space="preserve"> :</w:t>
      </w:r>
    </w:p>
    <w:p w14:paraId="768EC2D0" w14:textId="006D3EBB" w:rsidR="00AA5AF1" w:rsidRPr="00AA5AF1" w:rsidRDefault="00AA5AF1" w:rsidP="00AA5AF1">
      <w:pPr>
        <w:ind w:left="0"/>
        <w:rPr>
          <w:i/>
        </w:rPr>
      </w:pPr>
      <w:r w:rsidRPr="00AA5AF1">
        <w:rPr>
          <w:i/>
        </w:rPr>
        <w:t>- un rapport synthétique (rapport d’</w:t>
      </w:r>
      <w:proofErr w:type="spellStart"/>
      <w:r w:rsidRPr="00AA5AF1">
        <w:rPr>
          <w:i/>
        </w:rPr>
        <w:t>autoévaluation</w:t>
      </w:r>
      <w:proofErr w:type="spellEnd"/>
      <w:r w:rsidRPr="00AA5AF1">
        <w:rPr>
          <w:i/>
        </w:rPr>
        <w:t xml:space="preserve"> – RAE) </w:t>
      </w:r>
      <w:r w:rsidR="007D581A">
        <w:rPr>
          <w:i/>
        </w:rPr>
        <w:t>d’</w:t>
      </w:r>
      <w:r w:rsidRPr="00AA5AF1">
        <w:rPr>
          <w:i/>
        </w:rPr>
        <w:t xml:space="preserve">environ </w:t>
      </w:r>
      <w:r w:rsidR="00A104C5">
        <w:rPr>
          <w:i/>
        </w:rPr>
        <w:t>40</w:t>
      </w:r>
      <w:r w:rsidRPr="00AA5AF1">
        <w:rPr>
          <w:i/>
        </w:rPr>
        <w:t xml:space="preserve"> pages.</w:t>
      </w:r>
      <w:r w:rsidR="00D3574C">
        <w:rPr>
          <w:i/>
        </w:rPr>
        <w:t xml:space="preserve"> L’</w:t>
      </w:r>
      <w:r w:rsidRPr="00AA5AF1">
        <w:rPr>
          <w:i/>
        </w:rPr>
        <w:t>introduction du rapport présent</w:t>
      </w:r>
      <w:r w:rsidR="00D3574C">
        <w:rPr>
          <w:i/>
        </w:rPr>
        <w:t>era</w:t>
      </w:r>
      <w:r w:rsidRPr="00AA5AF1">
        <w:rPr>
          <w:i/>
        </w:rPr>
        <w:t xml:space="preserve"> notamment le processus d’</w:t>
      </w:r>
      <w:proofErr w:type="spellStart"/>
      <w:r w:rsidRPr="00AA5AF1">
        <w:rPr>
          <w:i/>
        </w:rPr>
        <w:t>autoévaluation</w:t>
      </w:r>
      <w:proofErr w:type="spellEnd"/>
      <w:r w:rsidR="00F32264">
        <w:rPr>
          <w:i/>
        </w:rPr>
        <w:t xml:space="preserve"> </w:t>
      </w:r>
      <w:r w:rsidRPr="00AA5AF1">
        <w:rPr>
          <w:i/>
        </w:rPr>
        <w:t>mis en place dans l’établissement (méthode, étapes, acteurs</w:t>
      </w:r>
      <w:r w:rsidR="00F32264">
        <w:rPr>
          <w:i/>
        </w:rPr>
        <w:t>,</w:t>
      </w:r>
      <w:r w:rsidRPr="00AA5AF1">
        <w:rPr>
          <w:i/>
        </w:rPr>
        <w:t xml:space="preserve"> etc.), et, si possible, une réflexion sur la portée et les limites du travail accompli</w:t>
      </w:r>
      <w:r w:rsidR="00567638">
        <w:rPr>
          <w:i/>
        </w:rPr>
        <w:t>, elle pourra également présenter les actions mises en œuvre pour répondre aux recommandatio</w:t>
      </w:r>
      <w:bookmarkStart w:id="2" w:name="_GoBack"/>
      <w:bookmarkEnd w:id="2"/>
      <w:r w:rsidR="00567638">
        <w:rPr>
          <w:i/>
        </w:rPr>
        <w:t>ns du précédent rapport d’évaluation</w:t>
      </w:r>
      <w:r w:rsidR="00EE5560">
        <w:rPr>
          <w:i/>
        </w:rPr>
        <w:t xml:space="preserve"> (ce suivi des recommandations pouvant apparaître également dans le cœur du rapport)</w:t>
      </w:r>
      <w:r w:rsidR="00D3574C">
        <w:rPr>
          <w:i/>
        </w:rPr>
        <w:t> ;</w:t>
      </w:r>
    </w:p>
    <w:p w14:paraId="72203978" w14:textId="5C11B847" w:rsidR="003C3F95" w:rsidRPr="00AA5AF1" w:rsidRDefault="00AA5AF1" w:rsidP="00AA5AF1">
      <w:pPr>
        <w:ind w:left="0"/>
        <w:rPr>
          <w:i/>
        </w:rPr>
      </w:pPr>
      <w:r w:rsidRPr="00AA5AF1">
        <w:rPr>
          <w:i/>
        </w:rPr>
        <w:t xml:space="preserve">- un plan du rapport reprenant les domaines et les références du référentiel du </w:t>
      </w:r>
      <w:proofErr w:type="spellStart"/>
      <w:r w:rsidRPr="00AA5AF1">
        <w:rPr>
          <w:i/>
        </w:rPr>
        <w:t>Hcéres</w:t>
      </w:r>
      <w:proofErr w:type="spellEnd"/>
      <w:r w:rsidRPr="00AA5AF1">
        <w:rPr>
          <w:i/>
        </w:rPr>
        <w:t>, chaque référence faisant l’objet</w:t>
      </w:r>
      <w:r>
        <w:rPr>
          <w:i/>
        </w:rPr>
        <w:t xml:space="preserve"> d’un traitement individualisé</w:t>
      </w:r>
      <w:r w:rsidR="00997F4B">
        <w:rPr>
          <w:i/>
        </w:rPr>
        <w:t>. Le développement de chaque</w:t>
      </w:r>
      <w:r w:rsidR="003C3F95">
        <w:rPr>
          <w:i/>
        </w:rPr>
        <w:t xml:space="preserve"> référence </w:t>
      </w:r>
      <w:r w:rsidR="00997F4B">
        <w:rPr>
          <w:i/>
        </w:rPr>
        <w:t>est effectué</w:t>
      </w:r>
      <w:r w:rsidR="003C3F95">
        <w:rPr>
          <w:i/>
        </w:rPr>
        <w:t xml:space="preserve"> </w:t>
      </w:r>
      <w:r w:rsidR="00EE5560">
        <w:rPr>
          <w:i/>
        </w:rPr>
        <w:t>à partir</w:t>
      </w:r>
      <w:r w:rsidR="003C3F95">
        <w:rPr>
          <w:i/>
        </w:rPr>
        <w:t xml:space="preserve"> des critères pertinents</w:t>
      </w:r>
      <w:r w:rsidR="00997F4B">
        <w:rPr>
          <w:i/>
        </w:rPr>
        <w:t xml:space="preserve"> et/ou modulés (cf. référentiel d’évaluation pour le détail des critères de chaque référence)</w:t>
      </w:r>
      <w:r w:rsidR="003C3F95">
        <w:rPr>
          <w:i/>
        </w:rPr>
        <w:t>,</w:t>
      </w:r>
      <w:r w:rsidR="00997F4B">
        <w:rPr>
          <w:i/>
        </w:rPr>
        <w:t xml:space="preserve"> il contient</w:t>
      </w:r>
      <w:r w:rsidR="003C3F95">
        <w:rPr>
          <w:i/>
        </w:rPr>
        <w:t xml:space="preserve"> des jugements </w:t>
      </w:r>
      <w:proofErr w:type="spellStart"/>
      <w:r w:rsidR="003C3F95">
        <w:rPr>
          <w:i/>
        </w:rPr>
        <w:t>autoévaluatifs</w:t>
      </w:r>
      <w:proofErr w:type="spellEnd"/>
      <w:r w:rsidR="003C3F95">
        <w:rPr>
          <w:i/>
        </w:rPr>
        <w:t xml:space="preserve"> argumentés, s’appuyant sur une analyse démonstrative objectivée et sur les éléments de contexte nécessaires à leur bonne compréhension</w:t>
      </w:r>
      <w:r w:rsidR="00371E54">
        <w:rPr>
          <w:i/>
        </w:rPr>
        <w:t> ;</w:t>
      </w:r>
    </w:p>
    <w:p w14:paraId="72591123" w14:textId="13138517" w:rsidR="00AA5AF1" w:rsidRPr="00AA5AF1" w:rsidRDefault="00AA5AF1" w:rsidP="00AA5AF1">
      <w:pPr>
        <w:ind w:left="0"/>
        <w:rPr>
          <w:i/>
        </w:rPr>
      </w:pPr>
      <w:r w:rsidRPr="00AA5AF1">
        <w:rPr>
          <w:i/>
        </w:rPr>
        <w:t>- des annexes</w:t>
      </w:r>
      <w:r w:rsidR="007D581A">
        <w:rPr>
          <w:i/>
        </w:rPr>
        <w:t>,</w:t>
      </w:r>
      <w:r w:rsidRPr="00AA5AF1">
        <w:rPr>
          <w:i/>
        </w:rPr>
        <w:t xml:space="preserve"> </w:t>
      </w:r>
      <w:r w:rsidR="00CB3C63" w:rsidRPr="00AA5AF1">
        <w:rPr>
          <w:i/>
        </w:rPr>
        <w:t>sélectionnées et numérotées</w:t>
      </w:r>
      <w:r w:rsidR="00CB3C63">
        <w:rPr>
          <w:i/>
        </w:rPr>
        <w:t xml:space="preserve">, citées dans le rapport en regard des analyses </w:t>
      </w:r>
      <w:proofErr w:type="spellStart"/>
      <w:r w:rsidR="00CB3C63">
        <w:rPr>
          <w:i/>
        </w:rPr>
        <w:t>autoévaluatives</w:t>
      </w:r>
      <w:proofErr w:type="spellEnd"/>
      <w:r w:rsidR="00CB3C63">
        <w:rPr>
          <w:i/>
        </w:rPr>
        <w:t xml:space="preserve"> comme éléments d’objectivation,</w:t>
      </w:r>
      <w:r w:rsidR="00CB3C63" w:rsidRPr="00AA5AF1">
        <w:rPr>
          <w:i/>
        </w:rPr>
        <w:t xml:space="preserve"> </w:t>
      </w:r>
      <w:r w:rsidR="00D3574C">
        <w:rPr>
          <w:i/>
        </w:rPr>
        <w:t>référencées dans le</w:t>
      </w:r>
      <w:r w:rsidRPr="00AA5AF1">
        <w:rPr>
          <w:i/>
        </w:rPr>
        <w:t xml:space="preserve"> </w:t>
      </w:r>
      <w:r w:rsidR="00CB3C63">
        <w:rPr>
          <w:i/>
        </w:rPr>
        <w:t xml:space="preserve">sommaire ou la table des matières du </w:t>
      </w:r>
      <w:r w:rsidRPr="00AA5AF1">
        <w:rPr>
          <w:i/>
        </w:rPr>
        <w:t>rapport</w:t>
      </w:r>
      <w:r w:rsidR="00CB3C63">
        <w:rPr>
          <w:i/>
        </w:rPr>
        <w:t xml:space="preserve"> afin d’en permettre rapidement une vue d’ensemble</w:t>
      </w:r>
      <w:r w:rsidR="00D3574C">
        <w:rPr>
          <w:i/>
        </w:rPr>
        <w:t>.</w:t>
      </w:r>
      <w:r w:rsidRPr="00AA5AF1">
        <w:rPr>
          <w:i/>
        </w:rPr>
        <w:t xml:space="preserve"> </w:t>
      </w:r>
    </w:p>
    <w:p w14:paraId="7070AFDB" w14:textId="77777777" w:rsidR="00AA5AF1" w:rsidRDefault="00AA5AF1" w:rsidP="00714EFF">
      <w:pPr>
        <w:pStyle w:val="1-TITRE1"/>
        <w:numPr>
          <w:ilvl w:val="0"/>
          <w:numId w:val="0"/>
        </w:numPr>
        <w:ind w:left="720"/>
      </w:pPr>
    </w:p>
    <w:p w14:paraId="72543EFD" w14:textId="32834166" w:rsidR="00AA5AF1" w:rsidRPr="00AA5AF1" w:rsidRDefault="00AA5AF1" w:rsidP="00714EFF">
      <w:pPr>
        <w:pStyle w:val="1-TITRE1"/>
      </w:pPr>
      <w:r w:rsidRPr="00AA5AF1">
        <w:t>Introduction</w:t>
      </w:r>
    </w:p>
    <w:p w14:paraId="2A33F7E9" w14:textId="05330FB6" w:rsidR="00AA5AF1" w:rsidRPr="00AA5AF1" w:rsidRDefault="00AA5AF1" w:rsidP="00AA5AF1">
      <w:r w:rsidRPr="00AA5AF1">
        <w:t>…</w:t>
      </w:r>
    </w:p>
    <w:p w14:paraId="5D36ACED" w14:textId="3E11E3FC" w:rsidR="00B6662C" w:rsidRDefault="00B6662C" w:rsidP="00B6662C">
      <w:pPr>
        <w:pStyle w:val="1-TITRE1"/>
      </w:pPr>
      <w:bookmarkStart w:id="3" w:name="_Toc113874638"/>
      <w:bookmarkEnd w:id="0"/>
      <w:bookmarkEnd w:id="1"/>
      <w:r>
        <w:t>Chapitre</w:t>
      </w:r>
      <w:r w:rsidRPr="00595AB9">
        <w:t xml:space="preserve"> 1 : Pilotage strat</w:t>
      </w:r>
      <w:r>
        <w:t>é</w:t>
      </w:r>
      <w:r w:rsidRPr="00595AB9">
        <w:t>gique et op</w:t>
      </w:r>
      <w:r>
        <w:t>é</w:t>
      </w:r>
      <w:r w:rsidRPr="00595AB9">
        <w:t>rationnel</w:t>
      </w:r>
      <w:bookmarkEnd w:id="3"/>
    </w:p>
    <w:p w14:paraId="0B907151" w14:textId="77777777" w:rsidR="00B6662C" w:rsidRPr="00595AB9" w:rsidRDefault="00B6662C" w:rsidP="00B6662C">
      <w:pPr>
        <w:ind w:left="0"/>
      </w:pPr>
    </w:p>
    <w:p w14:paraId="3F57F9B5" w14:textId="77777777" w:rsidR="00B6662C" w:rsidRPr="00595AB9" w:rsidRDefault="00B6662C" w:rsidP="00B6662C">
      <w:pPr>
        <w:pStyle w:val="2-TITRE2"/>
      </w:pPr>
      <w:bookmarkStart w:id="4" w:name="_Toc113874639"/>
      <w:bookmarkStart w:id="5" w:name="_Toc70980636"/>
      <w:r w:rsidRPr="00595AB9">
        <w:t xml:space="preserve">Référence 1. </w:t>
      </w:r>
      <w:r w:rsidRPr="00595AB9">
        <w:rPr>
          <w:rFonts w:eastAsiaTheme="minorHAnsi"/>
        </w:rPr>
        <w:t xml:space="preserve">L’établissement définit son positionnement institutionnel au niveau local, national et </w:t>
      </w:r>
      <w:r w:rsidRPr="00595AB9">
        <w:t>international.</w:t>
      </w:r>
      <w:bookmarkEnd w:id="4"/>
    </w:p>
    <w:p w14:paraId="2D1360F5" w14:textId="77777777" w:rsidR="00B6662C" w:rsidRPr="00595AB9" w:rsidRDefault="00B6662C" w:rsidP="00B6662C">
      <w:pPr>
        <w:ind w:left="0"/>
      </w:pPr>
    </w:p>
    <w:p w14:paraId="0CC0AB8B" w14:textId="77777777" w:rsidR="00B6662C" w:rsidRPr="00AA5AF1" w:rsidRDefault="00B6662C" w:rsidP="00B6662C">
      <w:bookmarkStart w:id="6" w:name="_Toc86240359"/>
      <w:bookmarkStart w:id="7" w:name="_Toc86404012"/>
      <w:bookmarkStart w:id="8" w:name="_Toc113874640"/>
      <w:r w:rsidRPr="00AA5AF1">
        <w:t>…</w:t>
      </w:r>
    </w:p>
    <w:p w14:paraId="146F9D13" w14:textId="77777777" w:rsidR="00B6662C" w:rsidRDefault="00B6662C" w:rsidP="00B6662C">
      <w:pPr>
        <w:pStyle w:val="2-TITRE2"/>
      </w:pPr>
    </w:p>
    <w:p w14:paraId="282D66C1" w14:textId="3403E4DC" w:rsidR="00B6662C" w:rsidRPr="00595AB9" w:rsidRDefault="00B6662C" w:rsidP="00B6662C">
      <w:pPr>
        <w:pStyle w:val="2-TITRE2"/>
      </w:pPr>
      <w:r w:rsidRPr="00595AB9">
        <w:t xml:space="preserve">Référence 2. </w:t>
      </w:r>
      <w:bookmarkEnd w:id="6"/>
      <w:bookmarkEnd w:id="7"/>
      <w:r w:rsidRPr="00595AB9">
        <w:t>L’établissement définit à partir de son positionnement une stratégie au niveau local, national et international, qu’il décline en objectifs opérationnels et dont il assure le suivi.</w:t>
      </w:r>
      <w:bookmarkEnd w:id="8"/>
    </w:p>
    <w:p w14:paraId="6E8D4D92" w14:textId="77777777" w:rsidR="00B6662C" w:rsidRPr="00AA5AF1" w:rsidRDefault="00B6662C" w:rsidP="00B6662C">
      <w:bookmarkStart w:id="9" w:name="_Toc86240360"/>
      <w:bookmarkStart w:id="10" w:name="_Toc86404013"/>
      <w:r w:rsidRPr="00AA5AF1">
        <w:t>…</w:t>
      </w:r>
    </w:p>
    <w:p w14:paraId="51C87235" w14:textId="77777777" w:rsidR="00B6662C" w:rsidRPr="00595AB9" w:rsidRDefault="00B6662C" w:rsidP="00B6662C">
      <w:pPr>
        <w:ind w:left="0"/>
      </w:pPr>
    </w:p>
    <w:p w14:paraId="11D235EC" w14:textId="77777777" w:rsidR="00B6662C" w:rsidRPr="00595AB9" w:rsidRDefault="00B6662C" w:rsidP="00B6662C">
      <w:pPr>
        <w:pStyle w:val="2-TITRE2"/>
      </w:pPr>
      <w:bookmarkStart w:id="11" w:name="_Toc113874641"/>
      <w:r w:rsidRPr="00595AB9">
        <w:t xml:space="preserve">Référence 3. </w:t>
      </w:r>
      <w:bookmarkEnd w:id="9"/>
      <w:bookmarkEnd w:id="10"/>
      <w:r w:rsidRPr="00595AB9">
        <w:t>L’établissement s’inscrit dans son environnement et construit une politique partenariale dans le cadre de sa stratégie.</w:t>
      </w:r>
      <w:bookmarkEnd w:id="11"/>
    </w:p>
    <w:p w14:paraId="486B49F8" w14:textId="77777777" w:rsidR="00B6662C" w:rsidRPr="00595AB9" w:rsidRDefault="00B6662C" w:rsidP="00B6662C">
      <w:pPr>
        <w:ind w:left="0"/>
      </w:pPr>
      <w:bookmarkStart w:id="12" w:name="_Toc86240361"/>
    </w:p>
    <w:p w14:paraId="625E6C4B" w14:textId="77777777" w:rsidR="00B6662C" w:rsidRPr="00AA5AF1" w:rsidRDefault="00B6662C" w:rsidP="00B6662C">
      <w:bookmarkStart w:id="13" w:name="_Toc86240364"/>
      <w:bookmarkEnd w:id="12"/>
      <w:r w:rsidRPr="00AA5AF1">
        <w:t>…</w:t>
      </w:r>
    </w:p>
    <w:p w14:paraId="5D375E87" w14:textId="77777777" w:rsidR="00B6662C" w:rsidRDefault="00B6662C" w:rsidP="00B6662C">
      <w:pPr>
        <w:pStyle w:val="3-TITRE3"/>
      </w:pPr>
    </w:p>
    <w:p w14:paraId="25B3A603" w14:textId="6293DAA2" w:rsidR="00B6662C" w:rsidRPr="00595AB9" w:rsidRDefault="00B6662C" w:rsidP="00B6662C">
      <w:pPr>
        <w:pStyle w:val="3-TITRE3"/>
      </w:pPr>
      <w:r w:rsidRPr="00595AB9">
        <w:t>Impact de l’établissement sur son environnement</w:t>
      </w:r>
      <w:bookmarkEnd w:id="13"/>
    </w:p>
    <w:p w14:paraId="46A79816" w14:textId="77777777" w:rsidR="00B6662C" w:rsidRDefault="00B6662C" w:rsidP="00B6662C">
      <w:bookmarkStart w:id="14" w:name="_Toc113874642"/>
    </w:p>
    <w:p w14:paraId="03A558A3" w14:textId="44F6AF15" w:rsidR="00B6662C" w:rsidRPr="00AA5AF1" w:rsidRDefault="00B6662C" w:rsidP="00B6662C">
      <w:r w:rsidRPr="00AA5AF1">
        <w:t>…</w:t>
      </w:r>
    </w:p>
    <w:p w14:paraId="63DEF5F0" w14:textId="77777777" w:rsidR="00B6662C" w:rsidRDefault="00B6662C" w:rsidP="00B6662C">
      <w:pPr>
        <w:pStyle w:val="2-TITRE2"/>
      </w:pPr>
    </w:p>
    <w:p w14:paraId="35EB9CA5" w14:textId="004EA364" w:rsidR="00B6662C" w:rsidRPr="00595AB9" w:rsidRDefault="00B6662C" w:rsidP="00B6662C">
      <w:pPr>
        <w:pStyle w:val="2-TITRE2"/>
      </w:pPr>
      <w:r w:rsidRPr="00595AB9">
        <w:t>Référence 4. La gouvernance de l’établissement s’appuie sur une organisation, une communication et un système d’information adaptés à sa stratégie.</w:t>
      </w:r>
      <w:bookmarkEnd w:id="14"/>
    </w:p>
    <w:p w14:paraId="2AE54733" w14:textId="77777777" w:rsidR="00B6662C" w:rsidRPr="00595AB9" w:rsidRDefault="00B6662C" w:rsidP="00B6662C">
      <w:pPr>
        <w:ind w:left="0"/>
      </w:pPr>
    </w:p>
    <w:p w14:paraId="38E94087" w14:textId="77777777" w:rsidR="00B6662C" w:rsidRPr="00595AB9" w:rsidRDefault="00B6662C" w:rsidP="00B6662C">
      <w:pPr>
        <w:pStyle w:val="3-TITRE3"/>
      </w:pPr>
      <w:r w:rsidRPr="00595AB9">
        <w:t>Gouvernance</w:t>
      </w:r>
    </w:p>
    <w:p w14:paraId="2A58592F" w14:textId="77777777" w:rsidR="00B6662C" w:rsidRPr="00AA5AF1" w:rsidRDefault="00B6662C" w:rsidP="00B6662C">
      <w:bookmarkStart w:id="15" w:name="_Toc86240367"/>
      <w:r w:rsidRPr="00AA5AF1">
        <w:t>…</w:t>
      </w:r>
    </w:p>
    <w:p w14:paraId="0B65E46F" w14:textId="77777777" w:rsidR="00B6662C" w:rsidRDefault="00B6662C" w:rsidP="00B6662C">
      <w:pPr>
        <w:pStyle w:val="3-TITRE3"/>
      </w:pPr>
    </w:p>
    <w:p w14:paraId="3BFCD1CF" w14:textId="1FD6B837" w:rsidR="00B6662C" w:rsidRPr="00595AB9" w:rsidRDefault="00B6662C" w:rsidP="00B6662C">
      <w:pPr>
        <w:pStyle w:val="3-TITRE3"/>
      </w:pPr>
      <w:r w:rsidRPr="00595AB9">
        <w:t>Communication</w:t>
      </w:r>
      <w:bookmarkEnd w:id="15"/>
    </w:p>
    <w:p w14:paraId="1EE3F117" w14:textId="77777777" w:rsidR="00B6662C" w:rsidRPr="00AA5AF1" w:rsidRDefault="00B6662C" w:rsidP="00B6662C">
      <w:r w:rsidRPr="00AA5AF1">
        <w:t>…</w:t>
      </w:r>
    </w:p>
    <w:p w14:paraId="0A390626" w14:textId="77777777" w:rsidR="00B6662C" w:rsidRDefault="00B6662C" w:rsidP="00B6662C">
      <w:pPr>
        <w:pStyle w:val="3-TITRE3"/>
      </w:pPr>
    </w:p>
    <w:p w14:paraId="44C6FB23" w14:textId="71E57150" w:rsidR="00B6662C" w:rsidRPr="00595AB9" w:rsidRDefault="00B6662C" w:rsidP="00B6662C">
      <w:pPr>
        <w:pStyle w:val="3-TITRE3"/>
      </w:pPr>
      <w:r w:rsidRPr="00595AB9">
        <w:t>Système d’information</w:t>
      </w:r>
    </w:p>
    <w:p w14:paraId="3AD2C45A" w14:textId="77777777" w:rsidR="00B6662C" w:rsidRPr="00AA5AF1" w:rsidRDefault="00B6662C" w:rsidP="00B6662C">
      <w:bookmarkStart w:id="16" w:name="_Toc113874643"/>
      <w:r w:rsidRPr="00AA5AF1">
        <w:t>…</w:t>
      </w:r>
    </w:p>
    <w:p w14:paraId="6C88E5C6" w14:textId="77777777" w:rsidR="00B6662C" w:rsidRDefault="00B6662C" w:rsidP="00B6662C">
      <w:pPr>
        <w:pStyle w:val="2-TITRE2"/>
        <w:rPr>
          <w:w w:val="105"/>
        </w:rPr>
      </w:pPr>
    </w:p>
    <w:p w14:paraId="2F8F5FC7" w14:textId="77777777" w:rsidR="00B6662C" w:rsidRDefault="00B6662C" w:rsidP="00B6662C">
      <w:pPr>
        <w:pStyle w:val="2-TITRE2"/>
        <w:rPr>
          <w:w w:val="105"/>
        </w:rPr>
      </w:pPr>
    </w:p>
    <w:p w14:paraId="4B4515FA" w14:textId="04F113C0" w:rsidR="00B6662C" w:rsidRPr="00595AB9" w:rsidRDefault="00B6662C" w:rsidP="00B6662C">
      <w:pPr>
        <w:pStyle w:val="2-TITRE2"/>
        <w:rPr>
          <w:w w:val="105"/>
        </w:rPr>
      </w:pPr>
      <w:r w:rsidRPr="00595AB9">
        <w:rPr>
          <w:w w:val="105"/>
        </w:rPr>
        <w:lastRenderedPageBreak/>
        <w:t>Référence 5. L’établissement porte une politique globale de la qualité.</w:t>
      </w:r>
      <w:bookmarkEnd w:id="16"/>
    </w:p>
    <w:p w14:paraId="23454814" w14:textId="77777777" w:rsidR="00B6662C" w:rsidRPr="00AA5AF1" w:rsidRDefault="00B6662C" w:rsidP="00B6662C">
      <w:bookmarkStart w:id="17" w:name="_Toc113874644"/>
      <w:r w:rsidRPr="00AA5AF1">
        <w:t>…</w:t>
      </w:r>
    </w:p>
    <w:p w14:paraId="0B85CD4F" w14:textId="77777777" w:rsidR="00B6662C" w:rsidRDefault="00B6662C" w:rsidP="00B6662C">
      <w:pPr>
        <w:pStyle w:val="2-TITRE2"/>
        <w:rPr>
          <w:w w:val="105"/>
        </w:rPr>
      </w:pPr>
    </w:p>
    <w:p w14:paraId="014DAD4A" w14:textId="7E11CA2B" w:rsidR="00B6662C" w:rsidRPr="00595AB9" w:rsidRDefault="00B6662C" w:rsidP="00B6662C">
      <w:pPr>
        <w:pStyle w:val="2-TITRE2"/>
        <w:rPr>
          <w:w w:val="105"/>
        </w:rPr>
      </w:pPr>
      <w:r w:rsidRPr="00595AB9">
        <w:rPr>
          <w:w w:val="105"/>
        </w:rPr>
        <w:t>Référence 6. L’établissement pilote la mise en œuvre de sa stratégie en s’appuyant sur des outils de projection prévisionnelle, sur une programmation budgétaire et sur un dialogue de gestion interne structuré.</w:t>
      </w:r>
      <w:bookmarkEnd w:id="17"/>
    </w:p>
    <w:p w14:paraId="1BFD8FF4" w14:textId="77777777" w:rsidR="00B6662C" w:rsidRPr="00595AB9" w:rsidRDefault="00B6662C" w:rsidP="00B6662C">
      <w:pPr>
        <w:pStyle w:val="3-TITRE3"/>
      </w:pPr>
    </w:p>
    <w:p w14:paraId="69885397" w14:textId="77777777" w:rsidR="00B6662C" w:rsidRPr="00595AB9" w:rsidRDefault="00B6662C" w:rsidP="00B6662C">
      <w:pPr>
        <w:pStyle w:val="3-TITRE3"/>
      </w:pPr>
      <w:r w:rsidRPr="00595AB9">
        <w:t>Soutenabilité et analyse des coûts</w:t>
      </w:r>
    </w:p>
    <w:p w14:paraId="6BBBC7F8" w14:textId="77777777" w:rsidR="00B6662C" w:rsidRPr="00AA5AF1" w:rsidRDefault="00B6662C" w:rsidP="00B6662C">
      <w:r w:rsidRPr="00AA5AF1">
        <w:t>…</w:t>
      </w:r>
    </w:p>
    <w:p w14:paraId="699486A2" w14:textId="77777777" w:rsidR="00B6662C" w:rsidRDefault="00B6662C" w:rsidP="00B6662C">
      <w:pPr>
        <w:pStyle w:val="2-TITRE2"/>
        <w:rPr>
          <w:w w:val="105"/>
        </w:rPr>
      </w:pPr>
    </w:p>
    <w:p w14:paraId="01FDE64C" w14:textId="77777777" w:rsidR="00B6662C" w:rsidRPr="00595AB9" w:rsidRDefault="00B6662C" w:rsidP="00B6662C">
      <w:pPr>
        <w:pStyle w:val="2-TITRE2"/>
        <w:rPr>
          <w:w w:val="105"/>
        </w:rPr>
      </w:pPr>
      <w:bookmarkStart w:id="18" w:name="_Toc113874645"/>
      <w:r w:rsidRPr="00595AB9">
        <w:rPr>
          <w:w w:val="105"/>
        </w:rPr>
        <w:t>Référence 7. La politique des ressources humaines et le développement du dialogue social traduisent la stratégie de l’établissement et contribuent à la qualité de vie au travail de ses personnels.</w:t>
      </w:r>
      <w:bookmarkEnd w:id="18"/>
    </w:p>
    <w:p w14:paraId="0478A53D" w14:textId="77777777" w:rsidR="00B6662C" w:rsidRPr="00595AB9" w:rsidRDefault="00B6662C" w:rsidP="00B6662C">
      <w:pPr>
        <w:pStyle w:val="3-TITRE3"/>
      </w:pPr>
    </w:p>
    <w:p w14:paraId="2367CE69" w14:textId="77777777" w:rsidR="00B6662C" w:rsidRPr="00595AB9" w:rsidRDefault="00B6662C" w:rsidP="00B6662C">
      <w:pPr>
        <w:pStyle w:val="3-TITRE3"/>
      </w:pPr>
      <w:r w:rsidRPr="00595AB9">
        <w:t xml:space="preserve">Politique de ressources humaines </w:t>
      </w:r>
    </w:p>
    <w:p w14:paraId="0004D7F7" w14:textId="77777777" w:rsidR="00B6662C" w:rsidRPr="00AA5AF1" w:rsidRDefault="00B6662C" w:rsidP="00B6662C">
      <w:r w:rsidRPr="00AA5AF1">
        <w:t>…</w:t>
      </w:r>
    </w:p>
    <w:p w14:paraId="5A15555C" w14:textId="77777777" w:rsidR="00B6662C" w:rsidRDefault="00B6662C" w:rsidP="00B6662C">
      <w:pPr>
        <w:pStyle w:val="3-TITRE3"/>
      </w:pPr>
    </w:p>
    <w:p w14:paraId="27EB79B6" w14:textId="47E5E880" w:rsidR="00B6662C" w:rsidRPr="00595AB9" w:rsidRDefault="00B6662C" w:rsidP="00B6662C">
      <w:pPr>
        <w:pStyle w:val="3-TITRE3"/>
      </w:pPr>
      <w:r w:rsidRPr="00595AB9">
        <w:t>Gestion prévisionnelle des emplois, des effectifs et des compétences</w:t>
      </w:r>
    </w:p>
    <w:p w14:paraId="725D3047" w14:textId="77777777" w:rsidR="00B6662C" w:rsidRPr="00AA5AF1" w:rsidRDefault="00B6662C" w:rsidP="00B6662C">
      <w:r w:rsidRPr="00AA5AF1">
        <w:t>…</w:t>
      </w:r>
    </w:p>
    <w:p w14:paraId="413EB1EE" w14:textId="77777777" w:rsidR="00B6662C" w:rsidRDefault="00B6662C" w:rsidP="00B6662C">
      <w:pPr>
        <w:pStyle w:val="3-TITRE3"/>
      </w:pPr>
    </w:p>
    <w:p w14:paraId="38D126EF" w14:textId="5A712253" w:rsidR="00B6662C" w:rsidRPr="00595AB9" w:rsidRDefault="00B6662C" w:rsidP="00B6662C">
      <w:pPr>
        <w:pStyle w:val="3-TITRE3"/>
      </w:pPr>
      <w:r w:rsidRPr="00595AB9">
        <w:t>Accompagnement des parcours professionnels</w:t>
      </w:r>
    </w:p>
    <w:p w14:paraId="63323B7B" w14:textId="77777777" w:rsidR="00B6662C" w:rsidRPr="00AA5AF1" w:rsidRDefault="00B6662C" w:rsidP="00B6662C">
      <w:r w:rsidRPr="00AA5AF1">
        <w:t>…</w:t>
      </w:r>
    </w:p>
    <w:p w14:paraId="47665A85" w14:textId="77777777" w:rsidR="00B6662C" w:rsidRDefault="00B6662C" w:rsidP="00B6662C">
      <w:pPr>
        <w:pStyle w:val="3-TITRE3"/>
      </w:pPr>
    </w:p>
    <w:p w14:paraId="1F7F96D2" w14:textId="46690EB7" w:rsidR="00B6662C" w:rsidRPr="00595AB9" w:rsidRDefault="00B6662C" w:rsidP="00B6662C">
      <w:pPr>
        <w:pStyle w:val="3-TITRE3"/>
      </w:pPr>
      <w:r w:rsidRPr="00595AB9">
        <w:t xml:space="preserve">Dialogue social et qualité de vie au travail </w:t>
      </w:r>
    </w:p>
    <w:p w14:paraId="6C3AE260" w14:textId="77777777" w:rsidR="00B6662C" w:rsidRPr="00AA5AF1" w:rsidRDefault="00B6662C" w:rsidP="00B6662C">
      <w:bookmarkStart w:id="19" w:name="_Toc113874646"/>
      <w:r w:rsidRPr="00AA5AF1">
        <w:t>…</w:t>
      </w:r>
    </w:p>
    <w:p w14:paraId="08CCE169" w14:textId="77777777" w:rsidR="00B6662C" w:rsidRDefault="00B6662C" w:rsidP="00B6662C">
      <w:pPr>
        <w:pStyle w:val="2-TITRE2"/>
        <w:rPr>
          <w:w w:val="105"/>
        </w:rPr>
      </w:pPr>
    </w:p>
    <w:p w14:paraId="1F2F2B28" w14:textId="3D8A96ED" w:rsidR="00B6662C" w:rsidRPr="00595AB9" w:rsidRDefault="00B6662C" w:rsidP="00B6662C">
      <w:pPr>
        <w:pStyle w:val="2-TITRE2"/>
        <w:rPr>
          <w:w w:val="105"/>
        </w:rPr>
      </w:pPr>
      <w:r w:rsidRPr="00595AB9">
        <w:rPr>
          <w:w w:val="105"/>
        </w:rPr>
        <w:t>Référence 8. L’établissement intègre dans sa stratégie une politique immobilière soutenant son développement.</w:t>
      </w:r>
      <w:bookmarkEnd w:id="19"/>
      <w:r w:rsidRPr="00595AB9">
        <w:rPr>
          <w:w w:val="105"/>
        </w:rPr>
        <w:t xml:space="preserve"> </w:t>
      </w:r>
    </w:p>
    <w:p w14:paraId="6F9752E1" w14:textId="77777777" w:rsidR="00B6662C" w:rsidRPr="00595AB9" w:rsidRDefault="00B6662C" w:rsidP="00B6662C">
      <w:pPr>
        <w:pStyle w:val="3-TITRE3"/>
      </w:pPr>
    </w:p>
    <w:p w14:paraId="1B53682B" w14:textId="77777777" w:rsidR="00B6662C" w:rsidRPr="00595AB9" w:rsidRDefault="00B6662C" w:rsidP="00B6662C">
      <w:pPr>
        <w:pStyle w:val="3-TITRE3"/>
      </w:pPr>
      <w:r w:rsidRPr="00595AB9">
        <w:t>Diagnostic et suivi du patrimoine immobilier</w:t>
      </w:r>
    </w:p>
    <w:p w14:paraId="5A7DF499" w14:textId="77777777" w:rsidR="00B6662C" w:rsidRPr="00AA5AF1" w:rsidRDefault="00B6662C" w:rsidP="00B6662C">
      <w:r w:rsidRPr="00AA5AF1">
        <w:t>…</w:t>
      </w:r>
    </w:p>
    <w:p w14:paraId="4FAD1B95" w14:textId="77777777" w:rsidR="00B6662C" w:rsidRDefault="00B6662C" w:rsidP="00B6662C">
      <w:pPr>
        <w:pStyle w:val="3-TITRE3"/>
      </w:pPr>
    </w:p>
    <w:p w14:paraId="6A881594" w14:textId="6A04A7FA" w:rsidR="00B6662C" w:rsidRPr="00595AB9" w:rsidRDefault="00B6662C" w:rsidP="00B6662C">
      <w:pPr>
        <w:pStyle w:val="3-TITRE3"/>
      </w:pPr>
      <w:r w:rsidRPr="00595AB9">
        <w:t>Programmation et soutenabilité immobilières</w:t>
      </w:r>
    </w:p>
    <w:p w14:paraId="01B0B173" w14:textId="77777777" w:rsidR="00B6662C" w:rsidRPr="00595AB9" w:rsidRDefault="00B6662C" w:rsidP="00B6662C"/>
    <w:p w14:paraId="4BD3E917" w14:textId="77777777" w:rsidR="00B6662C" w:rsidRPr="00AA5AF1" w:rsidRDefault="00B6662C" w:rsidP="00B6662C">
      <w:r w:rsidRPr="00AA5AF1">
        <w:t>…</w:t>
      </w:r>
    </w:p>
    <w:p w14:paraId="3D1D2CAD" w14:textId="77777777" w:rsidR="00B6662C" w:rsidRPr="00595AB9" w:rsidRDefault="00B6662C" w:rsidP="00B6662C">
      <w:pPr>
        <w:shd w:val="clear" w:color="auto" w:fill="FFFFFF"/>
        <w:spacing w:before="100" w:beforeAutospacing="1" w:after="100" w:afterAutospacing="1"/>
        <w:ind w:left="0"/>
        <w:rPr>
          <w:color w:val="7030A0"/>
        </w:rPr>
      </w:pPr>
      <w:r w:rsidRPr="00595AB9">
        <w:rPr>
          <w:color w:val="7030A0"/>
        </w:rPr>
        <w:t>Gestion immobilière, transition écologique, énergétique et environnementale.</w:t>
      </w:r>
    </w:p>
    <w:p w14:paraId="7C6206D0" w14:textId="77777777" w:rsidR="00B6662C" w:rsidRPr="00AA5AF1" w:rsidRDefault="00B6662C" w:rsidP="00B6662C">
      <w:bookmarkStart w:id="20" w:name="_Toc86240398"/>
      <w:bookmarkStart w:id="21" w:name="_Toc86404024"/>
      <w:bookmarkStart w:id="22" w:name="_Toc113874647"/>
      <w:r w:rsidRPr="00AA5AF1">
        <w:t>…</w:t>
      </w:r>
    </w:p>
    <w:p w14:paraId="7219262F" w14:textId="67BCC094" w:rsidR="00B6662C" w:rsidRPr="00AA5AF1" w:rsidRDefault="00B6662C" w:rsidP="00B6662C">
      <w:pPr>
        <w:pStyle w:val="1-TITRE1"/>
        <w:numPr>
          <w:ilvl w:val="0"/>
          <w:numId w:val="0"/>
        </w:numPr>
        <w:ind w:left="1080"/>
      </w:pPr>
    </w:p>
    <w:p w14:paraId="2BAD2FDC" w14:textId="2074934A" w:rsidR="00B6662C" w:rsidRPr="00595AB9" w:rsidRDefault="00B6662C" w:rsidP="00B6662C">
      <w:pPr>
        <w:pStyle w:val="1-TITRE1"/>
      </w:pPr>
      <w:r>
        <w:t>Chapitre</w:t>
      </w:r>
      <w:r w:rsidRPr="00595AB9">
        <w:t xml:space="preserve"> 2 : </w:t>
      </w:r>
      <w:bookmarkEnd w:id="20"/>
      <w:bookmarkEnd w:id="21"/>
      <w:r w:rsidRPr="00595AB9">
        <w:t xml:space="preserve">la Politique de la formation, de la vie </w:t>
      </w:r>
      <w:r>
        <w:t>é</w:t>
      </w:r>
      <w:r w:rsidRPr="00595AB9">
        <w:t>tudiante et de la vie de campus</w:t>
      </w:r>
      <w:bookmarkEnd w:id="22"/>
    </w:p>
    <w:p w14:paraId="7CBEBE53" w14:textId="77777777" w:rsidR="00B6662C" w:rsidRPr="00595AB9" w:rsidRDefault="00B6662C" w:rsidP="00B6662C">
      <w:pPr>
        <w:rPr>
          <w:rFonts w:eastAsiaTheme="minorHAnsi"/>
        </w:rPr>
      </w:pPr>
    </w:p>
    <w:p w14:paraId="3C985FE0" w14:textId="77777777" w:rsidR="00B6662C" w:rsidRPr="00595AB9" w:rsidRDefault="00B6662C" w:rsidP="00B6662C">
      <w:pPr>
        <w:pStyle w:val="2-TITRE2"/>
      </w:pPr>
      <w:bookmarkStart w:id="23" w:name="_Toc71050513"/>
      <w:bookmarkStart w:id="24" w:name="_Toc86240399"/>
      <w:bookmarkStart w:id="25" w:name="_Toc112425958"/>
      <w:bookmarkStart w:id="26" w:name="_Toc113874648"/>
      <w:r w:rsidRPr="00595AB9">
        <w:t>Référence 9. L’établissement porte une politique de formation et une offre de formation de qualité, cohérentes</w:t>
      </w:r>
      <w:bookmarkEnd w:id="23"/>
      <w:r w:rsidRPr="00595AB9">
        <w:t xml:space="preserve"> avec son positionnement et sa stratégie</w:t>
      </w:r>
      <w:bookmarkEnd w:id="24"/>
      <w:r w:rsidRPr="00595AB9">
        <w:t>.</w:t>
      </w:r>
      <w:bookmarkEnd w:id="25"/>
      <w:bookmarkEnd w:id="26"/>
    </w:p>
    <w:p w14:paraId="3CA2F99B" w14:textId="77777777" w:rsidR="00B6662C" w:rsidRPr="00595AB9" w:rsidRDefault="00B6662C" w:rsidP="00B6662C">
      <w:pPr>
        <w:ind w:left="0"/>
      </w:pPr>
    </w:p>
    <w:p w14:paraId="534E71FE" w14:textId="77777777" w:rsidR="00B6662C" w:rsidRPr="00391F37" w:rsidRDefault="00B6662C" w:rsidP="00B6662C">
      <w:pPr>
        <w:ind w:left="0"/>
        <w:rPr>
          <w:color w:val="7030A0"/>
          <w:sz w:val="22"/>
          <w:szCs w:val="22"/>
        </w:rPr>
      </w:pPr>
      <w:r w:rsidRPr="00391F37">
        <w:rPr>
          <w:color w:val="7030A0"/>
        </w:rPr>
        <w:t>Caractérisation de l’offre de formation</w:t>
      </w:r>
    </w:p>
    <w:p w14:paraId="523E5D4C" w14:textId="77777777" w:rsidR="00B6662C" w:rsidRPr="00AA5AF1" w:rsidRDefault="00B6662C" w:rsidP="00B6662C">
      <w:r w:rsidRPr="00AA5AF1">
        <w:t>…</w:t>
      </w:r>
    </w:p>
    <w:p w14:paraId="2910CAB0" w14:textId="77777777" w:rsidR="00B6662C" w:rsidRPr="00391F37" w:rsidRDefault="00B6662C" w:rsidP="00B6662C">
      <w:pPr>
        <w:shd w:val="clear" w:color="auto" w:fill="FFFFFF"/>
        <w:spacing w:before="100" w:beforeAutospacing="1" w:after="100" w:afterAutospacing="1"/>
        <w:ind w:left="0"/>
        <w:rPr>
          <w:rFonts w:cs="Segoe UI"/>
          <w:color w:val="7030A0"/>
          <w:lang w:eastAsia="fr-FR"/>
        </w:rPr>
      </w:pPr>
      <w:r w:rsidRPr="00391F37">
        <w:rPr>
          <w:rFonts w:cs="Segoe UI"/>
          <w:color w:val="7030A0"/>
          <w:lang w:eastAsia="fr-FR"/>
        </w:rPr>
        <w:t>Internationalisation des formations</w:t>
      </w:r>
    </w:p>
    <w:p w14:paraId="2F39A5CC" w14:textId="77777777" w:rsidR="00B6662C" w:rsidRPr="00AA5AF1" w:rsidRDefault="00B6662C" w:rsidP="00B6662C">
      <w:r w:rsidRPr="00AA5AF1">
        <w:lastRenderedPageBreak/>
        <w:t>…</w:t>
      </w:r>
    </w:p>
    <w:p w14:paraId="01C2C04D" w14:textId="77777777" w:rsidR="00B6662C" w:rsidRDefault="00B6662C" w:rsidP="00B6662C">
      <w:pPr>
        <w:ind w:left="0"/>
        <w:rPr>
          <w:color w:val="7030A0"/>
        </w:rPr>
      </w:pPr>
    </w:p>
    <w:p w14:paraId="242E1319" w14:textId="14EDCC49" w:rsidR="00B6662C" w:rsidRPr="00391F37" w:rsidRDefault="00B6662C" w:rsidP="00B6662C">
      <w:pPr>
        <w:ind w:left="0"/>
        <w:rPr>
          <w:color w:val="7030A0"/>
        </w:rPr>
      </w:pPr>
      <w:r w:rsidRPr="00391F37">
        <w:rPr>
          <w:color w:val="7030A0"/>
        </w:rPr>
        <w:t>Politique de formation à et par la recherche</w:t>
      </w:r>
    </w:p>
    <w:p w14:paraId="3C6FD59C" w14:textId="77777777" w:rsidR="00B6662C" w:rsidRPr="00AA5AF1" w:rsidRDefault="00B6662C" w:rsidP="00B6662C">
      <w:r w:rsidRPr="00AA5AF1">
        <w:t>…</w:t>
      </w:r>
    </w:p>
    <w:p w14:paraId="3AFB6489" w14:textId="77777777" w:rsidR="00B6662C" w:rsidRPr="00391F37" w:rsidRDefault="00B6662C" w:rsidP="00B6662C">
      <w:pPr>
        <w:shd w:val="clear" w:color="auto" w:fill="FFFFFF"/>
        <w:spacing w:before="100" w:beforeAutospacing="1" w:after="100" w:afterAutospacing="1"/>
        <w:ind w:left="0"/>
        <w:rPr>
          <w:rFonts w:cs="Segoe UI"/>
          <w:color w:val="7030A0"/>
          <w:lang w:eastAsia="fr-FR"/>
        </w:rPr>
      </w:pPr>
      <w:r w:rsidRPr="00391F37">
        <w:rPr>
          <w:rFonts w:cs="Segoe UI"/>
          <w:color w:val="7030A0"/>
          <w:lang w:eastAsia="fr-FR"/>
        </w:rPr>
        <w:t>Politique de professionnalisation des formations</w:t>
      </w:r>
    </w:p>
    <w:p w14:paraId="6FDEC7A4" w14:textId="77777777" w:rsidR="00B6662C" w:rsidRPr="00AA5AF1" w:rsidRDefault="00B6662C" w:rsidP="00B6662C">
      <w:r w:rsidRPr="00AA5AF1">
        <w:t>…</w:t>
      </w:r>
    </w:p>
    <w:p w14:paraId="265829B3" w14:textId="77777777" w:rsidR="00B6662C" w:rsidRPr="00595AB9" w:rsidRDefault="00B6662C" w:rsidP="00B6662C"/>
    <w:p w14:paraId="1F447B3E" w14:textId="77777777" w:rsidR="00B6662C" w:rsidRPr="00595AB9" w:rsidRDefault="00B6662C" w:rsidP="00B6662C">
      <w:pPr>
        <w:pStyle w:val="2-TITRE2"/>
        <w:rPr>
          <w:w w:val="105"/>
        </w:rPr>
      </w:pPr>
      <w:bookmarkStart w:id="27" w:name="_Toc113874649"/>
      <w:r w:rsidRPr="00595AB9">
        <w:rPr>
          <w:w w:val="105"/>
        </w:rPr>
        <w:t>Référence 10. L’établissement développe un ensemble de dispositifs institutionnels au service de la qualité pédagogique de son offre de formation.</w:t>
      </w:r>
      <w:bookmarkEnd w:id="27"/>
    </w:p>
    <w:p w14:paraId="2138AA61" w14:textId="77777777" w:rsidR="00B6662C" w:rsidRPr="00595AB9" w:rsidRDefault="00B6662C" w:rsidP="00B6662C">
      <w:pPr>
        <w:pStyle w:val="3-TITRE3"/>
      </w:pPr>
    </w:p>
    <w:p w14:paraId="15ED0F33" w14:textId="77777777" w:rsidR="00B6662C" w:rsidRPr="00595AB9" w:rsidRDefault="00B6662C" w:rsidP="00B6662C">
      <w:pPr>
        <w:ind w:left="0"/>
      </w:pPr>
      <w:r w:rsidRPr="006B16F8">
        <w:rPr>
          <w:color w:val="7030A0"/>
        </w:rPr>
        <w:t>Organisation pédagogique des formations</w:t>
      </w:r>
    </w:p>
    <w:p w14:paraId="4D6C00E5" w14:textId="77777777" w:rsidR="00B6662C" w:rsidRPr="00AA5AF1" w:rsidRDefault="00B6662C" w:rsidP="00B6662C">
      <w:bookmarkStart w:id="28" w:name="_Toc86240407"/>
      <w:r w:rsidRPr="00AA5AF1">
        <w:t>…</w:t>
      </w:r>
    </w:p>
    <w:p w14:paraId="61D7B82C" w14:textId="77777777" w:rsidR="00B6662C" w:rsidRDefault="00B6662C" w:rsidP="00B6662C">
      <w:pPr>
        <w:pStyle w:val="3-TITRE3"/>
      </w:pPr>
    </w:p>
    <w:p w14:paraId="453719C8" w14:textId="5574185E" w:rsidR="00B6662C" w:rsidRPr="00595AB9" w:rsidRDefault="00B6662C" w:rsidP="00B6662C">
      <w:pPr>
        <w:pStyle w:val="3-TITRE3"/>
      </w:pPr>
      <w:r w:rsidRPr="00595AB9">
        <w:t>Développement et diversification des pratiques pédagogiques</w:t>
      </w:r>
      <w:bookmarkEnd w:id="28"/>
    </w:p>
    <w:p w14:paraId="469F12D2" w14:textId="77777777" w:rsidR="00B6662C" w:rsidRPr="00AA5AF1" w:rsidRDefault="00B6662C" w:rsidP="00B6662C">
      <w:bookmarkStart w:id="29" w:name="_Toc86240408"/>
      <w:r w:rsidRPr="00AA5AF1">
        <w:t>…</w:t>
      </w:r>
    </w:p>
    <w:p w14:paraId="49EA2104" w14:textId="77777777" w:rsidR="00B6662C" w:rsidRDefault="00B6662C" w:rsidP="00B6662C">
      <w:pPr>
        <w:ind w:left="0"/>
        <w:rPr>
          <w:color w:val="7030A0"/>
        </w:rPr>
      </w:pPr>
    </w:p>
    <w:p w14:paraId="3202ACD2" w14:textId="21F833DB" w:rsidR="00B6662C" w:rsidRPr="006B16F8" w:rsidRDefault="00B6662C" w:rsidP="00B6662C">
      <w:pPr>
        <w:ind w:left="0"/>
        <w:rPr>
          <w:color w:val="7030A0"/>
        </w:rPr>
      </w:pPr>
      <w:r w:rsidRPr="006B16F8">
        <w:rPr>
          <w:color w:val="7030A0"/>
        </w:rPr>
        <w:t>Ouverture et adaptation de l’offre de formation à l’international</w:t>
      </w:r>
      <w:bookmarkEnd w:id="29"/>
      <w:r w:rsidRPr="006B16F8">
        <w:rPr>
          <w:color w:val="7030A0"/>
        </w:rPr>
        <w:t xml:space="preserve"> </w:t>
      </w:r>
    </w:p>
    <w:p w14:paraId="73800AAE" w14:textId="77777777" w:rsidR="00B6662C" w:rsidRPr="00AA5AF1" w:rsidRDefault="00B6662C" w:rsidP="00B6662C">
      <w:bookmarkStart w:id="30" w:name="_Toc71050516"/>
      <w:bookmarkStart w:id="31" w:name="_Toc86240414"/>
      <w:bookmarkStart w:id="32" w:name="_Toc86404028"/>
      <w:r w:rsidRPr="00AA5AF1">
        <w:t>…</w:t>
      </w:r>
    </w:p>
    <w:p w14:paraId="44719A4D" w14:textId="77777777" w:rsidR="00B6662C" w:rsidRPr="00595AB9" w:rsidRDefault="00B6662C" w:rsidP="00B6662C">
      <w:pPr>
        <w:rPr>
          <w:rFonts w:cs="Segoe UI"/>
          <w:color w:val="212121"/>
          <w:lang w:eastAsia="fr-FR"/>
        </w:rPr>
      </w:pPr>
    </w:p>
    <w:p w14:paraId="55396685" w14:textId="77777777" w:rsidR="00B6662C" w:rsidRPr="006B16F8" w:rsidRDefault="00B6662C" w:rsidP="00B6662C">
      <w:pPr>
        <w:pStyle w:val="3-TITRE3"/>
      </w:pPr>
      <w:bookmarkStart w:id="33" w:name="_Toc86240409"/>
      <w:bookmarkEnd w:id="30"/>
      <w:bookmarkEnd w:id="31"/>
      <w:bookmarkEnd w:id="32"/>
      <w:r w:rsidRPr="006B16F8">
        <w:t>Ouverture et adaptation de l’offre de formation aux publics de formation continue et en alternance</w:t>
      </w:r>
    </w:p>
    <w:p w14:paraId="46D5E191" w14:textId="77777777" w:rsidR="00B6662C" w:rsidRPr="00AA5AF1" w:rsidRDefault="00B6662C" w:rsidP="00B6662C">
      <w:bookmarkStart w:id="34" w:name="_Toc113874650"/>
      <w:bookmarkEnd w:id="33"/>
      <w:r w:rsidRPr="00AA5AF1">
        <w:t>…</w:t>
      </w:r>
    </w:p>
    <w:p w14:paraId="70B29F94" w14:textId="77777777" w:rsidR="00B6662C" w:rsidRDefault="00B6662C" w:rsidP="00B6662C">
      <w:pPr>
        <w:pStyle w:val="2-TITRE2"/>
        <w:rPr>
          <w:w w:val="105"/>
        </w:rPr>
      </w:pPr>
    </w:p>
    <w:p w14:paraId="254045E2" w14:textId="2DB0BF96" w:rsidR="00B6662C" w:rsidRPr="00595AB9" w:rsidRDefault="00B6662C" w:rsidP="00B6662C">
      <w:pPr>
        <w:pStyle w:val="2-TITRE2"/>
        <w:rPr>
          <w:w w:val="105"/>
        </w:rPr>
      </w:pPr>
      <w:r w:rsidRPr="00595AB9">
        <w:rPr>
          <w:w w:val="105"/>
        </w:rPr>
        <w:t>Référence 11. L’établissement analyse l’attractivité, la performance et la pertinence de son offre de formation, et favorise la réussite des étudiants depuis leur orientation jusqu’à leur insertion professionnelle.</w:t>
      </w:r>
      <w:bookmarkEnd w:id="34"/>
    </w:p>
    <w:p w14:paraId="2DC5A8CC" w14:textId="77777777" w:rsidR="00B6662C" w:rsidRPr="00595AB9" w:rsidRDefault="00B6662C" w:rsidP="00B6662C">
      <w:pPr>
        <w:pStyle w:val="3-TITRE3"/>
      </w:pPr>
    </w:p>
    <w:p w14:paraId="12E96EB5" w14:textId="77777777" w:rsidR="00B6662C" w:rsidRPr="00595AB9" w:rsidRDefault="00B6662C" w:rsidP="00B6662C">
      <w:pPr>
        <w:pStyle w:val="3-TITRE3"/>
      </w:pPr>
      <w:r w:rsidRPr="00595AB9">
        <w:t>Attractivité des formations</w:t>
      </w:r>
    </w:p>
    <w:p w14:paraId="0550022E" w14:textId="77777777" w:rsidR="00B6662C" w:rsidRPr="00AA5AF1" w:rsidRDefault="00B6662C" w:rsidP="00B6662C">
      <w:bookmarkStart w:id="35" w:name="_Toc86240412"/>
      <w:r w:rsidRPr="00AA5AF1">
        <w:t>…</w:t>
      </w:r>
    </w:p>
    <w:p w14:paraId="6412A06C" w14:textId="77777777" w:rsidR="00B6662C" w:rsidRDefault="00B6662C" w:rsidP="00B6662C">
      <w:pPr>
        <w:pStyle w:val="3-TITRE3"/>
      </w:pPr>
    </w:p>
    <w:p w14:paraId="25BD6928" w14:textId="71DA7049" w:rsidR="00B6662C" w:rsidRPr="00595AB9" w:rsidRDefault="00B6662C" w:rsidP="00B6662C">
      <w:pPr>
        <w:pStyle w:val="3-TITRE3"/>
      </w:pPr>
      <w:r w:rsidRPr="00595AB9">
        <w:t>Performance des formations</w:t>
      </w:r>
      <w:bookmarkEnd w:id="35"/>
    </w:p>
    <w:p w14:paraId="013EAFB3" w14:textId="77777777" w:rsidR="00B6662C" w:rsidRPr="00AA5AF1" w:rsidRDefault="00B6662C" w:rsidP="00B6662C">
      <w:bookmarkStart w:id="36" w:name="_Toc86240413"/>
      <w:r w:rsidRPr="00AA5AF1">
        <w:t>…</w:t>
      </w:r>
    </w:p>
    <w:p w14:paraId="06811146" w14:textId="77777777" w:rsidR="00B6662C" w:rsidRDefault="00B6662C" w:rsidP="00B6662C">
      <w:pPr>
        <w:pStyle w:val="3-TITRE3"/>
      </w:pPr>
    </w:p>
    <w:p w14:paraId="06D67586" w14:textId="27F53F10" w:rsidR="00B6662C" w:rsidRPr="00595AB9" w:rsidRDefault="00B6662C" w:rsidP="00B6662C">
      <w:pPr>
        <w:pStyle w:val="3-TITRE3"/>
      </w:pPr>
      <w:r w:rsidRPr="00595AB9">
        <w:t>Pertinence des formations</w:t>
      </w:r>
      <w:bookmarkEnd w:id="36"/>
    </w:p>
    <w:p w14:paraId="5F3827AE" w14:textId="77777777" w:rsidR="00B6662C" w:rsidRPr="00AA5AF1" w:rsidRDefault="00B6662C" w:rsidP="00B6662C">
      <w:bookmarkStart w:id="37" w:name="_Toc113874651"/>
      <w:r w:rsidRPr="00AA5AF1">
        <w:t>…</w:t>
      </w:r>
    </w:p>
    <w:p w14:paraId="1D9BF7C4" w14:textId="77777777" w:rsidR="00B6662C" w:rsidRDefault="00B6662C" w:rsidP="00B6662C">
      <w:pPr>
        <w:pStyle w:val="2-TITRE2"/>
        <w:rPr>
          <w:w w:val="105"/>
        </w:rPr>
      </w:pPr>
    </w:p>
    <w:p w14:paraId="501564B9" w14:textId="717B2DE1" w:rsidR="00B6662C" w:rsidRPr="00595AB9" w:rsidRDefault="00B6662C" w:rsidP="00B6662C">
      <w:pPr>
        <w:pStyle w:val="2-TITRE2"/>
        <w:rPr>
          <w:w w:val="105"/>
        </w:rPr>
      </w:pPr>
      <w:r w:rsidRPr="00595AB9">
        <w:rPr>
          <w:w w:val="105"/>
        </w:rPr>
        <w:t>Référence 12. L’établissement suit l’évolution de son offre de formation en mettant en œuvre une démarche d’amélioration continue.</w:t>
      </w:r>
      <w:bookmarkEnd w:id="37"/>
    </w:p>
    <w:p w14:paraId="5FC5E28C" w14:textId="77777777" w:rsidR="00B6662C" w:rsidRPr="00595AB9" w:rsidRDefault="00B6662C" w:rsidP="00B6662C">
      <w:pPr>
        <w:pStyle w:val="3-TITRE3"/>
      </w:pPr>
      <w:bookmarkStart w:id="38" w:name="_Toc86240415"/>
    </w:p>
    <w:p w14:paraId="459110CA" w14:textId="77777777" w:rsidR="00B6662C" w:rsidRPr="00595AB9" w:rsidRDefault="00B6662C" w:rsidP="00B6662C">
      <w:pPr>
        <w:pStyle w:val="3-TITRE3"/>
      </w:pPr>
      <w:bookmarkStart w:id="39" w:name="_bookmark34"/>
      <w:bookmarkStart w:id="40" w:name="_Toc86240416"/>
      <w:bookmarkEnd w:id="38"/>
      <w:bookmarkEnd w:id="39"/>
      <w:r w:rsidRPr="00595AB9">
        <w:t>Dispositifs de pilotage et d’amélioration continue de l’offre de formation</w:t>
      </w:r>
      <w:bookmarkEnd w:id="40"/>
      <w:r w:rsidRPr="00595AB9">
        <w:t xml:space="preserve"> </w:t>
      </w:r>
    </w:p>
    <w:p w14:paraId="49E654C9" w14:textId="77777777" w:rsidR="00B6662C" w:rsidRPr="00AA5AF1" w:rsidRDefault="00B6662C" w:rsidP="00B6662C">
      <w:bookmarkStart w:id="41" w:name="_Toc86240418"/>
      <w:bookmarkStart w:id="42" w:name="_Toc112425962"/>
      <w:bookmarkStart w:id="43" w:name="_Toc113874652"/>
      <w:r w:rsidRPr="00AA5AF1">
        <w:t>…</w:t>
      </w:r>
    </w:p>
    <w:p w14:paraId="75EE5051" w14:textId="77777777" w:rsidR="00B6662C" w:rsidRDefault="00B6662C" w:rsidP="00B6662C">
      <w:pPr>
        <w:pStyle w:val="2-TITRE2"/>
      </w:pPr>
    </w:p>
    <w:p w14:paraId="6AA9495A" w14:textId="4A77EDE5" w:rsidR="00B6662C" w:rsidRPr="00595AB9" w:rsidRDefault="00B6662C" w:rsidP="00B6662C">
      <w:pPr>
        <w:pStyle w:val="2-TITRE2"/>
      </w:pPr>
      <w:r>
        <w:t>Référence 13</w:t>
      </w:r>
      <w:r w:rsidRPr="00595AB9">
        <w:t>. L’établissement soutient le développement de la vie étudiante et de la vie de campus, l’engagement des étudiants dans la gouvernance, et il favorise le bien-être étudiant.</w:t>
      </w:r>
      <w:bookmarkEnd w:id="41"/>
      <w:bookmarkEnd w:id="42"/>
      <w:bookmarkEnd w:id="43"/>
    </w:p>
    <w:p w14:paraId="53981A73" w14:textId="77777777" w:rsidR="00B6662C" w:rsidRPr="00AA5AF1" w:rsidRDefault="00B6662C" w:rsidP="00B6662C">
      <w:bookmarkStart w:id="44" w:name="_Toc86240420"/>
      <w:r w:rsidRPr="00AA5AF1">
        <w:t>…</w:t>
      </w:r>
    </w:p>
    <w:p w14:paraId="7672E5A7" w14:textId="77777777" w:rsidR="00B6662C" w:rsidRDefault="00B6662C" w:rsidP="00B6662C">
      <w:pPr>
        <w:pStyle w:val="3-TITRE3"/>
      </w:pPr>
    </w:p>
    <w:p w14:paraId="60E2F67C" w14:textId="07E850DD" w:rsidR="00B6662C" w:rsidRPr="00DF7BA2" w:rsidRDefault="00B6662C" w:rsidP="00B6662C">
      <w:pPr>
        <w:pStyle w:val="3-TITRE3"/>
      </w:pPr>
      <w:r w:rsidRPr="00DF7BA2">
        <w:t>Politique de ressources</w:t>
      </w:r>
      <w:bookmarkEnd w:id="44"/>
    </w:p>
    <w:p w14:paraId="7C544435" w14:textId="77777777" w:rsidR="00B6662C" w:rsidRPr="00AA5AF1" w:rsidRDefault="00B6662C" w:rsidP="00B6662C">
      <w:r w:rsidRPr="00AA5AF1">
        <w:t>…</w:t>
      </w:r>
    </w:p>
    <w:p w14:paraId="4D23621A" w14:textId="77777777" w:rsidR="00B6662C" w:rsidRPr="00595AB9" w:rsidRDefault="00B6662C" w:rsidP="00B6662C"/>
    <w:p w14:paraId="61774CB2" w14:textId="77777777" w:rsidR="00B6662C" w:rsidRDefault="00B6662C" w:rsidP="00B6662C">
      <w:pPr>
        <w:ind w:left="0"/>
        <w:jc w:val="left"/>
        <w:rPr>
          <w:rFonts w:eastAsia="Times"/>
          <w:caps/>
          <w:noProof/>
          <w:color w:val="ED145B"/>
          <w:w w:val="105"/>
          <w:sz w:val="24"/>
          <w:szCs w:val="32"/>
        </w:rPr>
      </w:pPr>
      <w:bookmarkStart w:id="45" w:name="_Toc86240382"/>
      <w:bookmarkStart w:id="46" w:name="_Toc86404019"/>
      <w:r>
        <w:br w:type="page"/>
      </w:r>
    </w:p>
    <w:p w14:paraId="38C62CEB" w14:textId="78E16640" w:rsidR="00B6662C" w:rsidRPr="00595AB9" w:rsidRDefault="00B6662C" w:rsidP="00B6662C">
      <w:pPr>
        <w:pStyle w:val="1-TITRE1"/>
      </w:pPr>
      <w:bookmarkStart w:id="47" w:name="_Toc113874653"/>
      <w:r>
        <w:lastRenderedPageBreak/>
        <w:t>Chapitre</w:t>
      </w:r>
      <w:r w:rsidRPr="00595AB9">
        <w:t xml:space="preserve"> 3 : Politique de la recherche, de l’innovation, de l’inscription de la science dans la soci</w:t>
      </w:r>
      <w:r>
        <w:t>é</w:t>
      </w:r>
      <w:r w:rsidRPr="00595AB9">
        <w:t>t</w:t>
      </w:r>
      <w:bookmarkEnd w:id="45"/>
      <w:bookmarkEnd w:id="46"/>
      <w:r>
        <w:t>é</w:t>
      </w:r>
      <w:bookmarkEnd w:id="47"/>
    </w:p>
    <w:p w14:paraId="5FAFCE60" w14:textId="77777777" w:rsidR="00B6662C" w:rsidRDefault="00B6662C" w:rsidP="00B6662C">
      <w:pPr>
        <w:pStyle w:val="1-TITRE1"/>
        <w:numPr>
          <w:ilvl w:val="0"/>
          <w:numId w:val="0"/>
        </w:numPr>
        <w:ind w:left="720"/>
      </w:pPr>
      <w:bookmarkStart w:id="48" w:name="_Toc113874654"/>
    </w:p>
    <w:p w14:paraId="51DC953E" w14:textId="77E678A8" w:rsidR="00B6662C" w:rsidRPr="00595AB9" w:rsidRDefault="00B6662C" w:rsidP="00B6662C">
      <w:pPr>
        <w:pStyle w:val="1-TITRE1"/>
        <w:numPr>
          <w:ilvl w:val="0"/>
          <w:numId w:val="0"/>
        </w:numPr>
        <w:ind w:left="720"/>
      </w:pPr>
      <w:r>
        <w:t>Chapitre</w:t>
      </w:r>
      <w:r w:rsidRPr="00595AB9">
        <w:t xml:space="preserve"> 3.1 </w:t>
      </w:r>
      <w:r>
        <w:t>La politique de la recherche</w:t>
      </w:r>
      <w:bookmarkEnd w:id="48"/>
      <w:r w:rsidRPr="00595AB9">
        <w:t xml:space="preserve"> </w:t>
      </w:r>
    </w:p>
    <w:p w14:paraId="3EC1C497" w14:textId="77777777" w:rsidR="00B6662C" w:rsidRDefault="00B6662C" w:rsidP="00B6662C">
      <w:pPr>
        <w:pStyle w:val="2-TITRE2"/>
        <w:rPr>
          <w:w w:val="105"/>
        </w:rPr>
      </w:pPr>
      <w:bookmarkStart w:id="49" w:name="_Toc86240383"/>
      <w:bookmarkStart w:id="50" w:name="_Toc86404020"/>
      <w:bookmarkStart w:id="51" w:name="_Toc113874655"/>
    </w:p>
    <w:p w14:paraId="16565F37" w14:textId="029C3C4B" w:rsidR="00B6662C" w:rsidRPr="00595AB9" w:rsidRDefault="00B6662C" w:rsidP="00B6662C">
      <w:pPr>
        <w:pStyle w:val="2-TITRE2"/>
        <w:rPr>
          <w:w w:val="105"/>
        </w:rPr>
      </w:pPr>
      <w:r>
        <w:rPr>
          <w:w w:val="105"/>
        </w:rPr>
        <w:t>Référence 14</w:t>
      </w:r>
      <w:r w:rsidRPr="00595AB9">
        <w:rPr>
          <w:w w:val="105"/>
        </w:rPr>
        <w:t>. La politique de reche</w:t>
      </w:r>
      <w:r>
        <w:rPr>
          <w:w w:val="105"/>
        </w:rPr>
        <w:t>rche de l’établissement identifie des résultats en cohérence avec s</w:t>
      </w:r>
      <w:r w:rsidRPr="00595AB9">
        <w:rPr>
          <w:w w:val="105"/>
        </w:rPr>
        <w:t>es orientations structurantes.</w:t>
      </w:r>
      <w:bookmarkEnd w:id="49"/>
      <w:bookmarkEnd w:id="50"/>
      <w:bookmarkEnd w:id="51"/>
    </w:p>
    <w:p w14:paraId="368195B4" w14:textId="77777777" w:rsidR="00B6662C" w:rsidRPr="00AA5AF1" w:rsidRDefault="00B6662C" w:rsidP="00B6662C">
      <w:bookmarkStart w:id="52" w:name="_Toc86240388"/>
      <w:bookmarkStart w:id="53" w:name="_Toc86404021"/>
      <w:bookmarkStart w:id="54" w:name="_Toc113874656"/>
      <w:r w:rsidRPr="00AA5AF1">
        <w:t>…</w:t>
      </w:r>
    </w:p>
    <w:p w14:paraId="288EEE25" w14:textId="77777777" w:rsidR="00B6662C" w:rsidRDefault="00B6662C" w:rsidP="00B6662C">
      <w:pPr>
        <w:pStyle w:val="2-TITRE2"/>
        <w:rPr>
          <w:w w:val="105"/>
        </w:rPr>
      </w:pPr>
    </w:p>
    <w:p w14:paraId="258C545F" w14:textId="7D906C12" w:rsidR="00B6662C" w:rsidRPr="00595AB9" w:rsidRDefault="00B6662C" w:rsidP="00B6662C">
      <w:pPr>
        <w:pStyle w:val="2-TITRE2"/>
        <w:rPr>
          <w:w w:val="105"/>
        </w:rPr>
      </w:pPr>
      <w:r>
        <w:rPr>
          <w:w w:val="105"/>
        </w:rPr>
        <w:t>Référence 15</w:t>
      </w:r>
      <w:r w:rsidRPr="00595AB9">
        <w:rPr>
          <w:w w:val="105"/>
        </w:rPr>
        <w:t>. L’établissement mène une politique de ressources et de soutien à la recherche.</w:t>
      </w:r>
      <w:bookmarkEnd w:id="52"/>
      <w:bookmarkEnd w:id="53"/>
      <w:bookmarkEnd w:id="54"/>
    </w:p>
    <w:p w14:paraId="6142A257" w14:textId="77777777" w:rsidR="00B6662C" w:rsidRPr="00AA5AF1" w:rsidRDefault="00B6662C" w:rsidP="00B6662C">
      <w:bookmarkStart w:id="55" w:name="_Toc86240391"/>
      <w:bookmarkStart w:id="56" w:name="_Toc86404022"/>
      <w:bookmarkStart w:id="57" w:name="_Toc113874657"/>
      <w:r w:rsidRPr="00AA5AF1">
        <w:t>…</w:t>
      </w:r>
    </w:p>
    <w:p w14:paraId="717EDF78" w14:textId="77777777" w:rsidR="00B6662C" w:rsidRDefault="00B6662C" w:rsidP="00B6662C">
      <w:pPr>
        <w:pStyle w:val="2-TITRE2"/>
        <w:rPr>
          <w:w w:val="105"/>
        </w:rPr>
      </w:pPr>
    </w:p>
    <w:p w14:paraId="0A0B9B82" w14:textId="6B0D1F83" w:rsidR="00B6662C" w:rsidRPr="00595AB9" w:rsidRDefault="00B6662C" w:rsidP="00B6662C">
      <w:pPr>
        <w:pStyle w:val="2-TITRE2"/>
        <w:rPr>
          <w:w w:val="105"/>
        </w:rPr>
      </w:pPr>
      <w:r>
        <w:rPr>
          <w:w w:val="105"/>
        </w:rPr>
        <w:t>Référence 16</w:t>
      </w:r>
      <w:r w:rsidRPr="00595AB9">
        <w:rPr>
          <w:w w:val="105"/>
        </w:rPr>
        <w:t xml:space="preserve">. </w:t>
      </w:r>
      <w:r>
        <w:rPr>
          <w:w w:val="105"/>
        </w:rPr>
        <w:t xml:space="preserve">L’établissement appuie </w:t>
      </w:r>
      <w:r w:rsidRPr="00595AB9">
        <w:rPr>
          <w:w w:val="105"/>
        </w:rPr>
        <w:t>sa politique d’innovation et d’inscriptio</w:t>
      </w:r>
      <w:r>
        <w:rPr>
          <w:w w:val="105"/>
        </w:rPr>
        <w:t xml:space="preserve">n des savoirs dans la société sur </w:t>
      </w:r>
      <w:r w:rsidRPr="00595AB9">
        <w:rPr>
          <w:w w:val="105"/>
        </w:rPr>
        <w:t>des orientations structurantes.</w:t>
      </w:r>
      <w:bookmarkEnd w:id="55"/>
      <w:bookmarkEnd w:id="56"/>
      <w:bookmarkEnd w:id="57"/>
    </w:p>
    <w:p w14:paraId="71FB4EDF" w14:textId="77777777" w:rsidR="00B6662C" w:rsidRPr="00AA5AF1" w:rsidRDefault="00B6662C" w:rsidP="00B6662C">
      <w:bookmarkStart w:id="58" w:name="_Toc113874658"/>
      <w:bookmarkEnd w:id="5"/>
      <w:r w:rsidRPr="00AA5AF1">
        <w:t>…</w:t>
      </w:r>
    </w:p>
    <w:p w14:paraId="2D67A74C" w14:textId="661294B8" w:rsidR="00B6662C" w:rsidRPr="00AA5AF1" w:rsidRDefault="00B6662C" w:rsidP="00B6662C">
      <w:pPr>
        <w:pStyle w:val="1-TITRE1"/>
        <w:numPr>
          <w:ilvl w:val="0"/>
          <w:numId w:val="0"/>
        </w:numPr>
      </w:pPr>
    </w:p>
    <w:p w14:paraId="2F521774" w14:textId="1C4B8934" w:rsidR="00B6662C" w:rsidRPr="00595AB9" w:rsidRDefault="00B6662C" w:rsidP="00B6662C">
      <w:pPr>
        <w:pStyle w:val="1-TITRE1"/>
        <w:numPr>
          <w:ilvl w:val="0"/>
          <w:numId w:val="0"/>
        </w:numPr>
        <w:ind w:left="720"/>
      </w:pPr>
      <w:r>
        <w:t>Chapitre</w:t>
      </w:r>
      <w:r w:rsidRPr="00595AB9">
        <w:t xml:space="preserve"> 3.2 </w:t>
      </w:r>
      <w:r>
        <w:t>L’évaluation des produits et des activités de la recherche</w:t>
      </w:r>
      <w:bookmarkEnd w:id="58"/>
      <w:r>
        <w:t xml:space="preserve"> </w:t>
      </w:r>
    </w:p>
    <w:p w14:paraId="7B5A903C" w14:textId="77777777" w:rsidR="00B6662C" w:rsidRPr="00595AB9" w:rsidRDefault="00B6662C" w:rsidP="00B6662C">
      <w:pPr>
        <w:pStyle w:val="2-TITRE2"/>
      </w:pPr>
      <w:bookmarkStart w:id="59" w:name="_Toc113874659"/>
      <w:r>
        <w:t>Référence 17. Les produits de la recherche</w:t>
      </w:r>
      <w:r w:rsidRPr="00595AB9">
        <w:t xml:space="preserve"> de l’établissement </w:t>
      </w:r>
      <w:r>
        <w:t>satisfont</w:t>
      </w:r>
      <w:r w:rsidRPr="00595AB9">
        <w:t xml:space="preserve"> à des critères de qualité.</w:t>
      </w:r>
      <w:bookmarkEnd w:id="59"/>
    </w:p>
    <w:p w14:paraId="5C5C387E" w14:textId="77777777" w:rsidR="00B6662C" w:rsidRPr="00595AB9" w:rsidRDefault="00B6662C" w:rsidP="00B6662C">
      <w:pPr>
        <w:ind w:left="284" w:hanging="284"/>
        <w:rPr>
          <w:rFonts w:cs="Arial"/>
          <w:color w:val="000000"/>
          <w:szCs w:val="18"/>
        </w:rPr>
      </w:pPr>
    </w:p>
    <w:p w14:paraId="7419E583" w14:textId="77777777" w:rsidR="00B6662C" w:rsidRPr="00AA5AF1" w:rsidRDefault="00B6662C" w:rsidP="00B6662C">
      <w:r w:rsidRPr="00AA5AF1">
        <w:t>…</w:t>
      </w:r>
    </w:p>
    <w:p w14:paraId="7CC089CB" w14:textId="77777777" w:rsidR="00B6662C" w:rsidRPr="00595AB9" w:rsidRDefault="00B6662C" w:rsidP="00B6662C">
      <w:pPr>
        <w:ind w:left="0"/>
        <w:rPr>
          <w:rFonts w:cs="Arial"/>
          <w:color w:val="000000"/>
          <w:szCs w:val="18"/>
          <w:u w:val="single"/>
        </w:rPr>
      </w:pPr>
    </w:p>
    <w:p w14:paraId="017328DC" w14:textId="77777777" w:rsidR="00B6662C" w:rsidRPr="00595AB9" w:rsidRDefault="00B6662C" w:rsidP="00B6662C">
      <w:pPr>
        <w:pStyle w:val="2-TITRE2"/>
      </w:pPr>
      <w:bookmarkStart w:id="60" w:name="_Toc113874660"/>
      <w:r w:rsidRPr="00595AB9">
        <w:t xml:space="preserve">Référence </w:t>
      </w:r>
      <w:r>
        <w:t>18. Les produits de la recherche sont en adéquation avec le</w:t>
      </w:r>
      <w:r w:rsidRPr="00595AB9">
        <w:t xml:space="preserve"> potentiel de recherche de l</w:t>
      </w:r>
      <w:r w:rsidRPr="00595AB9">
        <w:rPr>
          <w:rFonts w:eastAsia="Arial"/>
        </w:rPr>
        <w:t>’établissement</w:t>
      </w:r>
      <w:r w:rsidRPr="00595AB9">
        <w:t xml:space="preserve"> </w:t>
      </w:r>
      <w:r>
        <w:t>et répartis</w:t>
      </w:r>
      <w:r w:rsidRPr="00595AB9">
        <w:t xml:space="preserve"> entre ses personnels.</w:t>
      </w:r>
      <w:bookmarkEnd w:id="60"/>
    </w:p>
    <w:p w14:paraId="39F339FE" w14:textId="77777777" w:rsidR="00B6662C" w:rsidRPr="00595AB9" w:rsidRDefault="00B6662C" w:rsidP="00B6662C"/>
    <w:p w14:paraId="283E36D8" w14:textId="77777777" w:rsidR="00B6662C" w:rsidRPr="00AA5AF1" w:rsidRDefault="00B6662C" w:rsidP="00B6662C">
      <w:r w:rsidRPr="00AA5AF1">
        <w:t>…</w:t>
      </w:r>
    </w:p>
    <w:p w14:paraId="28AEA0B7" w14:textId="77777777" w:rsidR="00B6662C" w:rsidRPr="00595AB9" w:rsidRDefault="00B6662C" w:rsidP="00B6662C">
      <w:pPr>
        <w:pStyle w:val="2-TITRE2"/>
      </w:pPr>
    </w:p>
    <w:p w14:paraId="4E586139" w14:textId="77777777" w:rsidR="00B6662C" w:rsidRPr="00595AB9" w:rsidRDefault="00B6662C" w:rsidP="00B6662C">
      <w:pPr>
        <w:pStyle w:val="2-TITRE2"/>
      </w:pPr>
      <w:bookmarkStart w:id="61" w:name="_Toc113874661"/>
      <w:r w:rsidRPr="00595AB9">
        <w:t>R</w:t>
      </w:r>
      <w:r>
        <w:t>éférence 19. Les produits de la recherche</w:t>
      </w:r>
      <w:r w:rsidRPr="00595AB9">
        <w:t xml:space="preserve"> de</w:t>
      </w:r>
      <w:r>
        <w:t xml:space="preserve"> l’établissement</w:t>
      </w:r>
      <w:r w:rsidRPr="00595AB9">
        <w:t xml:space="preserve"> respecte</w:t>
      </w:r>
      <w:r>
        <w:t>nt</w:t>
      </w:r>
      <w:r w:rsidRPr="00595AB9">
        <w:t xml:space="preserve"> les principes de l’intégrité scientifique, de l’éthique et de la science ouverte.</w:t>
      </w:r>
      <w:bookmarkEnd w:id="61"/>
    </w:p>
    <w:p w14:paraId="2F96B242" w14:textId="77777777" w:rsidR="00B6662C" w:rsidRPr="00595AB9" w:rsidRDefault="00B6662C" w:rsidP="00B6662C">
      <w:pPr>
        <w:rPr>
          <w:rFonts w:cs="Arial"/>
          <w:color w:val="000000"/>
          <w:szCs w:val="18"/>
        </w:rPr>
      </w:pPr>
    </w:p>
    <w:p w14:paraId="01B7BED2" w14:textId="77777777" w:rsidR="00B6662C" w:rsidRPr="00AA5AF1" w:rsidRDefault="00B6662C" w:rsidP="00B6662C">
      <w:r w:rsidRPr="00AA5AF1">
        <w:t>…</w:t>
      </w:r>
    </w:p>
    <w:p w14:paraId="72E92147" w14:textId="77777777" w:rsidR="00B6662C" w:rsidRPr="00595AB9" w:rsidRDefault="00B6662C" w:rsidP="00B6662C">
      <w:pPr>
        <w:pStyle w:val="Paragraphedeliste"/>
        <w:ind w:left="284"/>
        <w:jc w:val="both"/>
        <w:rPr>
          <w:rFonts w:ascii="Century Gothic" w:hAnsi="Century Gothic"/>
          <w:color w:val="000000"/>
          <w:sz w:val="18"/>
          <w:szCs w:val="18"/>
        </w:rPr>
      </w:pPr>
    </w:p>
    <w:p w14:paraId="74AE9BBF" w14:textId="77777777" w:rsidR="00B6662C" w:rsidRPr="00595AB9" w:rsidRDefault="00B6662C" w:rsidP="00B6662C">
      <w:pPr>
        <w:pStyle w:val="2-TITRE2"/>
      </w:pPr>
      <w:bookmarkStart w:id="62" w:name="_Toc113874662"/>
      <w:r>
        <w:rPr>
          <w:rFonts w:eastAsia="Arial"/>
        </w:rPr>
        <w:t>Référence 20.</w:t>
      </w:r>
      <w:r w:rsidRPr="00595AB9">
        <w:rPr>
          <w:rFonts w:eastAsia="Arial"/>
        </w:rPr>
        <w:t xml:space="preserve"> L</w:t>
      </w:r>
      <w:r>
        <w:rPr>
          <w:rFonts w:eastAsia="Arial"/>
        </w:rPr>
        <w:t>es activités de recherche de l’établissement contribuent à l</w:t>
      </w:r>
      <w:r w:rsidRPr="00595AB9">
        <w:rPr>
          <w:rFonts w:eastAsia="Arial"/>
        </w:rPr>
        <w:t xml:space="preserve">’inscription </w:t>
      </w:r>
      <w:r>
        <w:rPr>
          <w:rFonts w:eastAsia="Arial"/>
        </w:rPr>
        <w:t>des savoirs</w:t>
      </w:r>
      <w:r w:rsidRPr="00595AB9">
        <w:rPr>
          <w:rFonts w:eastAsia="Arial"/>
        </w:rPr>
        <w:t xml:space="preserve"> dans la société</w:t>
      </w:r>
      <w:r>
        <w:rPr>
          <w:rFonts w:eastAsia="Arial"/>
        </w:rPr>
        <w:t>.</w:t>
      </w:r>
      <w:bookmarkEnd w:id="62"/>
      <w:r w:rsidRPr="00595AB9">
        <w:rPr>
          <w:rFonts w:eastAsia="Arial"/>
        </w:rPr>
        <w:t xml:space="preserve"> </w:t>
      </w:r>
    </w:p>
    <w:p w14:paraId="6999F16F" w14:textId="77777777" w:rsidR="00B6662C" w:rsidRPr="00595AB9" w:rsidRDefault="00B6662C" w:rsidP="00B6662C">
      <w:pPr>
        <w:ind w:left="0"/>
        <w:rPr>
          <w:rFonts w:eastAsia="Arial" w:cs="Arial"/>
          <w:szCs w:val="18"/>
        </w:rPr>
      </w:pPr>
    </w:p>
    <w:p w14:paraId="6F224C26" w14:textId="77777777" w:rsidR="00B6662C" w:rsidRPr="00AA5AF1" w:rsidRDefault="00B6662C" w:rsidP="00B6662C">
      <w:r w:rsidRPr="00AA5AF1">
        <w:t>…</w:t>
      </w:r>
    </w:p>
    <w:p w14:paraId="7BDC9BF9" w14:textId="219A91AC" w:rsidR="00AA5AF1" w:rsidRDefault="00AA5AF1" w:rsidP="00914876">
      <w:pPr>
        <w:ind w:left="0"/>
      </w:pPr>
    </w:p>
    <w:p w14:paraId="3E0AAB1D" w14:textId="77777777" w:rsidR="00AA5AF1" w:rsidRDefault="00AA5AF1" w:rsidP="00914876">
      <w:pPr>
        <w:ind w:left="0"/>
      </w:pPr>
    </w:p>
    <w:p w14:paraId="5E3A35F5" w14:textId="52CA0818" w:rsidR="00AA5AF1" w:rsidRDefault="00AA5AF1" w:rsidP="00914876">
      <w:pPr>
        <w:ind w:left="0"/>
      </w:pPr>
    </w:p>
    <w:p w14:paraId="44608F6B" w14:textId="2CAB2BBB" w:rsidR="00AA5AF1" w:rsidRDefault="00AA5AF1" w:rsidP="00714EFF">
      <w:pPr>
        <w:pStyle w:val="1-TITRE1"/>
      </w:pPr>
      <w:r>
        <w:t>Conclusion</w:t>
      </w:r>
    </w:p>
    <w:p w14:paraId="3D182E84" w14:textId="1A640B55" w:rsidR="00AA5AF1" w:rsidRDefault="00AA5AF1" w:rsidP="00914876">
      <w:pPr>
        <w:ind w:left="0"/>
      </w:pPr>
    </w:p>
    <w:p w14:paraId="672C8A1C" w14:textId="77777777" w:rsidR="00B6662C" w:rsidRPr="00AA5AF1" w:rsidRDefault="00B6662C" w:rsidP="00B6662C">
      <w:r w:rsidRPr="00AA5AF1">
        <w:t>…</w:t>
      </w:r>
    </w:p>
    <w:p w14:paraId="0B137E0B" w14:textId="3A7DF944" w:rsidR="00714EFF" w:rsidRPr="00AA5AF1" w:rsidRDefault="00714EFF" w:rsidP="00914876">
      <w:pPr>
        <w:ind w:left="0"/>
        <w:sectPr w:rsidR="00714EFF" w:rsidRPr="00AA5AF1" w:rsidSect="00CD7C53">
          <w:headerReference w:type="default" r:id="rId8"/>
          <w:footerReference w:type="default" r:id="rId9"/>
          <w:pgSz w:w="11900" w:h="16840"/>
          <w:pgMar w:top="1520" w:right="1134" w:bottom="851" w:left="1134" w:header="709" w:footer="374" w:gutter="0"/>
          <w:cols w:space="708"/>
          <w:docGrid w:linePitch="326"/>
        </w:sectPr>
      </w:pPr>
    </w:p>
    <w:p w14:paraId="0B0C2AED" w14:textId="132E8FBF" w:rsidR="00C31945" w:rsidRPr="00AA5AF1" w:rsidRDefault="00C31945" w:rsidP="00714EFF">
      <w:pPr>
        <w:ind w:left="0"/>
      </w:pPr>
    </w:p>
    <w:sectPr w:rsidR="00C31945" w:rsidRPr="00AA5AF1" w:rsidSect="00CD7C53">
      <w:headerReference w:type="default" r:id="rId10"/>
      <w:footerReference w:type="default" r:id="rId11"/>
      <w:pgSz w:w="11900" w:h="16840"/>
      <w:pgMar w:top="1520" w:right="1134" w:bottom="851" w:left="1134" w:header="709" w:footer="374" w:gutter="0"/>
      <w:cols w:space="708"/>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B9E24" w16cex:dateUtc="2021-11-02T10:23:00Z"/>
  <w16cex:commentExtensible w16cex:durableId="252A284F" w16cex:dateUtc="2021-11-01T07:48:00Z"/>
  <w16cex:commentExtensible w16cex:durableId="252B99F9" w16cex:dateUtc="2021-11-02T10: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CBF319" w16cid:durableId="252B9E24"/>
  <w16cid:commentId w16cid:paraId="2CEB025D" w16cid:durableId="252A284F"/>
  <w16cid:commentId w16cid:paraId="6DD91F93" w16cid:durableId="252B99F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E504E8" w14:textId="77777777" w:rsidR="00A91D7E" w:rsidRDefault="00A91D7E">
      <w:r>
        <w:separator/>
      </w:r>
    </w:p>
  </w:endnote>
  <w:endnote w:type="continuationSeparator" w:id="0">
    <w:p w14:paraId="4345590B" w14:textId="77777777" w:rsidR="00A91D7E" w:rsidRDefault="00A91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21184" w14:textId="01C8AA04" w:rsidR="00E475A8" w:rsidRPr="00CD7C53" w:rsidRDefault="00E475A8" w:rsidP="008F320B">
    <w:pPr>
      <w:pStyle w:val="Pieddepage"/>
      <w:rPr>
        <w:sz w:val="18"/>
      </w:rPr>
    </w:pPr>
    <w:r>
      <w:t>Campagne d’évaluation 202</w:t>
    </w:r>
    <w:r w:rsidR="00DD552A">
      <w:t>3</w:t>
    </w:r>
    <w:r>
      <w:t>-202</w:t>
    </w:r>
    <w:r w:rsidR="00DD552A">
      <w:t>4</w:t>
    </w:r>
    <w:r>
      <w:t xml:space="preserve"> – Vague </w:t>
    </w:r>
    <w:r w:rsidR="00DD552A">
      <w:t>D</w:t>
    </w:r>
    <w:r>
      <w:tab/>
    </w:r>
    <w:r>
      <w:tab/>
    </w:r>
    <w:r>
      <w:tab/>
    </w:r>
    <w:r>
      <w:tab/>
    </w:r>
    <w:r>
      <w:tab/>
    </w:r>
    <w:r>
      <w:tab/>
    </w:r>
    <w:r>
      <w:tab/>
    </w:r>
    <w:r>
      <w:tab/>
    </w:r>
    <w:r>
      <w:tab/>
    </w:r>
    <w:sdt>
      <w:sdtPr>
        <w:id w:val="-1553760774"/>
        <w:docPartObj>
          <w:docPartGallery w:val="Page Numbers (Bottom of Page)"/>
          <w:docPartUnique/>
        </w:docPartObj>
      </w:sdtPr>
      <w:sdtEndPr/>
      <w:sdtContent>
        <w:r>
          <w:fldChar w:fldCharType="begin"/>
        </w:r>
        <w:r>
          <w:instrText>PAGE   \* MERGEFORMAT</w:instrText>
        </w:r>
        <w:r>
          <w:fldChar w:fldCharType="separate"/>
        </w:r>
        <w:r w:rsidR="00A104C5">
          <w:rPr>
            <w:noProof/>
          </w:rPr>
          <w:t>1</w:t>
        </w:r>
        <w: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56092" w14:textId="0F6206AC" w:rsidR="00E475A8" w:rsidRPr="0035498A" w:rsidRDefault="00E475A8" w:rsidP="0035498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53D28" w14:textId="77777777" w:rsidR="00A91D7E" w:rsidRDefault="00A91D7E">
      <w:r>
        <w:separator/>
      </w:r>
    </w:p>
  </w:footnote>
  <w:footnote w:type="continuationSeparator" w:id="0">
    <w:p w14:paraId="583F778B" w14:textId="77777777" w:rsidR="00A91D7E" w:rsidRDefault="00A91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14536" w14:textId="030F2E80" w:rsidR="00E475A8" w:rsidRPr="00894053" w:rsidRDefault="0012310A" w:rsidP="00894053">
    <w:pPr>
      <w:pStyle w:val="En-tte"/>
      <w:ind w:left="0"/>
      <w:rPr>
        <w:rFonts w:eastAsia="MS Mincho"/>
      </w:rPr>
    </w:pPr>
    <w:r>
      <w:t>Trame de l’</w:t>
    </w:r>
    <w:proofErr w:type="spellStart"/>
    <w:r>
      <w:t>autoévaluation</w:t>
    </w:r>
    <w:proofErr w:type="spellEnd"/>
    <w:r>
      <w:t xml:space="preserve"> des établissements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D85A5" w14:textId="316F4489" w:rsidR="00E475A8" w:rsidRPr="0035498A" w:rsidRDefault="00E475A8" w:rsidP="0035498A">
    <w:pPr>
      <w:pStyle w:val="En-tte"/>
      <w:rPr>
        <w:rFonts w:eastAsia="MS Minch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3C7F"/>
    <w:multiLevelType w:val="hybridMultilevel"/>
    <w:tmpl w:val="F6C8E7C4"/>
    <w:lvl w:ilvl="0" w:tplc="3BD4B8A6">
      <w:start w:val="1"/>
      <w:numFmt w:val="upperRoman"/>
      <w:lvlText w:val="%1)"/>
      <w:lvlJc w:val="left"/>
      <w:pPr>
        <w:ind w:left="1080" w:hanging="720"/>
      </w:pPr>
      <w:rPr>
        <w:rFonts w:hint="default"/>
      </w:rPr>
    </w:lvl>
    <w:lvl w:ilvl="1" w:tplc="040C000F">
      <w:start w:val="1"/>
      <w:numFmt w:val="decimal"/>
      <w:lvlText w:val="%2."/>
      <w:lvlJc w:val="left"/>
      <w:pPr>
        <w:ind w:left="1440" w:hanging="360"/>
      </w:pPr>
    </w:lvl>
    <w:lvl w:ilvl="2" w:tplc="040C0019">
      <w:start w:val="1"/>
      <w:numFmt w:val="lowerLetter"/>
      <w:lvlText w:val="%3."/>
      <w:lvlJc w:val="lef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36508C2"/>
    <w:multiLevelType w:val="hybridMultilevel"/>
    <w:tmpl w:val="37CE29E6"/>
    <w:lvl w:ilvl="0" w:tplc="C792C704">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20B00FA"/>
    <w:multiLevelType w:val="multilevel"/>
    <w:tmpl w:val="040C001D"/>
    <w:styleLink w:val="Hcrestabledesmatires"/>
    <w:lvl w:ilvl="0">
      <w:start w:val="1"/>
      <w:numFmt w:val="bullet"/>
      <w:lvlText w:val="●"/>
      <w:lvlJc w:val="left"/>
      <w:pPr>
        <w:ind w:left="360" w:hanging="360"/>
      </w:pPr>
      <w:rPr>
        <w:rFonts w:ascii="Century Gothic" w:hAnsi="Century Gothic" w:hint="default"/>
        <w:color w:val="auto"/>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63E63CD4"/>
    <w:multiLevelType w:val="hybridMultilevel"/>
    <w:tmpl w:val="AB962872"/>
    <w:lvl w:ilvl="0" w:tplc="1AC44DE4">
      <w:start w:val="3"/>
      <w:numFmt w:val="bullet"/>
      <w:lvlText w:val="-"/>
      <w:lvlJc w:val="left"/>
      <w:pPr>
        <w:ind w:left="1069" w:hanging="360"/>
      </w:pPr>
      <w:rPr>
        <w:rFonts w:ascii="Century Gothic" w:eastAsia="Times New Roman" w:hAnsi="Century Gothic"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4" w15:restartNumberingAfterBreak="0">
    <w:nsid w:val="670169BE"/>
    <w:multiLevelType w:val="hybridMultilevel"/>
    <w:tmpl w:val="2B7C9060"/>
    <w:lvl w:ilvl="0" w:tplc="4C3629CE">
      <w:start w:val="1"/>
      <w:numFmt w:val="upperRoman"/>
      <w:pStyle w:val="1-TITRE1"/>
      <w:lvlText w:val="%1."/>
      <w:lvlJc w:val="righ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6C5667EC"/>
    <w:multiLevelType w:val="hybridMultilevel"/>
    <w:tmpl w:val="0F769164"/>
    <w:lvl w:ilvl="0" w:tplc="521E9942">
      <w:start w:val="1"/>
      <w:numFmt w:val="bullet"/>
      <w:pStyle w:val="Titre1"/>
      <w:lvlText w:val="─"/>
      <w:lvlJc w:val="left"/>
      <w:pPr>
        <w:ind w:left="1778" w:hanging="360"/>
      </w:pPr>
      <w:rPr>
        <w:rFonts w:ascii="Century Gothic" w:hAnsi="Century Gothic" w:hint="default"/>
        <w:b/>
        <w:i w:val="0"/>
        <w:color w:val="5C2D91"/>
      </w:rPr>
    </w:lvl>
    <w:lvl w:ilvl="1" w:tplc="040C0003" w:tentative="1">
      <w:start w:val="1"/>
      <w:numFmt w:val="bullet"/>
      <w:lvlText w:val="o"/>
      <w:lvlJc w:val="left"/>
      <w:pPr>
        <w:ind w:left="1383" w:hanging="360"/>
      </w:pPr>
      <w:rPr>
        <w:rFonts w:ascii="Courier New" w:hAnsi="Courier New" w:cs="Courier New" w:hint="default"/>
      </w:rPr>
    </w:lvl>
    <w:lvl w:ilvl="2" w:tplc="040C0005" w:tentative="1">
      <w:start w:val="1"/>
      <w:numFmt w:val="bullet"/>
      <w:lvlText w:val=""/>
      <w:lvlJc w:val="left"/>
      <w:pPr>
        <w:ind w:left="2103" w:hanging="360"/>
      </w:pPr>
      <w:rPr>
        <w:rFonts w:ascii="Wingdings" w:hAnsi="Wingdings" w:hint="default"/>
      </w:rPr>
    </w:lvl>
    <w:lvl w:ilvl="3" w:tplc="040C0001" w:tentative="1">
      <w:start w:val="1"/>
      <w:numFmt w:val="bullet"/>
      <w:lvlText w:val=""/>
      <w:lvlJc w:val="left"/>
      <w:pPr>
        <w:ind w:left="2823" w:hanging="360"/>
      </w:pPr>
      <w:rPr>
        <w:rFonts w:ascii="Symbol" w:hAnsi="Symbol" w:hint="default"/>
      </w:rPr>
    </w:lvl>
    <w:lvl w:ilvl="4" w:tplc="040C0003" w:tentative="1">
      <w:start w:val="1"/>
      <w:numFmt w:val="bullet"/>
      <w:lvlText w:val="o"/>
      <w:lvlJc w:val="left"/>
      <w:pPr>
        <w:ind w:left="3543" w:hanging="360"/>
      </w:pPr>
      <w:rPr>
        <w:rFonts w:ascii="Courier New" w:hAnsi="Courier New" w:cs="Courier New" w:hint="default"/>
      </w:rPr>
    </w:lvl>
    <w:lvl w:ilvl="5" w:tplc="040C0005" w:tentative="1">
      <w:start w:val="1"/>
      <w:numFmt w:val="bullet"/>
      <w:lvlText w:val=""/>
      <w:lvlJc w:val="left"/>
      <w:pPr>
        <w:ind w:left="4263" w:hanging="360"/>
      </w:pPr>
      <w:rPr>
        <w:rFonts w:ascii="Wingdings" w:hAnsi="Wingdings" w:hint="default"/>
      </w:rPr>
    </w:lvl>
    <w:lvl w:ilvl="6" w:tplc="040C0001" w:tentative="1">
      <w:start w:val="1"/>
      <w:numFmt w:val="bullet"/>
      <w:lvlText w:val=""/>
      <w:lvlJc w:val="left"/>
      <w:pPr>
        <w:ind w:left="4983" w:hanging="360"/>
      </w:pPr>
      <w:rPr>
        <w:rFonts w:ascii="Symbol" w:hAnsi="Symbol" w:hint="default"/>
      </w:rPr>
    </w:lvl>
    <w:lvl w:ilvl="7" w:tplc="040C0003" w:tentative="1">
      <w:start w:val="1"/>
      <w:numFmt w:val="bullet"/>
      <w:lvlText w:val="o"/>
      <w:lvlJc w:val="left"/>
      <w:pPr>
        <w:ind w:left="5703" w:hanging="360"/>
      </w:pPr>
      <w:rPr>
        <w:rFonts w:ascii="Courier New" w:hAnsi="Courier New" w:cs="Courier New" w:hint="default"/>
      </w:rPr>
    </w:lvl>
    <w:lvl w:ilvl="8" w:tplc="040C0005" w:tentative="1">
      <w:start w:val="1"/>
      <w:numFmt w:val="bullet"/>
      <w:lvlText w:val=""/>
      <w:lvlJc w:val="left"/>
      <w:pPr>
        <w:ind w:left="6423" w:hanging="360"/>
      </w:pPr>
      <w:rPr>
        <w:rFonts w:ascii="Wingdings" w:hAnsi="Wingdings" w:hint="default"/>
      </w:rPr>
    </w:lvl>
  </w:abstractNum>
  <w:num w:numId="1">
    <w:abstractNumId w:val="2"/>
  </w:num>
  <w:num w:numId="2">
    <w:abstractNumId w:val="5"/>
  </w:num>
  <w:num w:numId="3">
    <w:abstractNumId w:val="1"/>
  </w:num>
  <w:num w:numId="4">
    <w:abstractNumId w:val="4"/>
  </w:num>
  <w:num w:numId="5">
    <w:abstractNumId w:val="4"/>
  </w:num>
  <w:num w:numId="6">
    <w:abstractNumId w:val="0"/>
  </w:num>
  <w:num w:numId="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fr-FR" w:vendorID="64" w:dllVersion="6" w:nlCheck="1" w:checkStyle="0"/>
  <w:activeWritingStyle w:appName="MSWord" w:lang="fr-FR" w:vendorID="64" w:dllVersion="0" w:nlCheck="1" w:checkStyle="0"/>
  <w:activeWritingStyle w:appName="MSWord" w:lang="fr-FR"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E8D"/>
    <w:rsid w:val="00002353"/>
    <w:rsid w:val="00010A5A"/>
    <w:rsid w:val="00026F31"/>
    <w:rsid w:val="000B0327"/>
    <w:rsid w:val="000B15D6"/>
    <w:rsid w:val="000E0EDE"/>
    <w:rsid w:val="000E384C"/>
    <w:rsid w:val="000E6658"/>
    <w:rsid w:val="00102AFC"/>
    <w:rsid w:val="00105C28"/>
    <w:rsid w:val="0012310A"/>
    <w:rsid w:val="00127635"/>
    <w:rsid w:val="00130F0B"/>
    <w:rsid w:val="00145962"/>
    <w:rsid w:val="00150FAD"/>
    <w:rsid w:val="00157C4B"/>
    <w:rsid w:val="00160BE8"/>
    <w:rsid w:val="00164895"/>
    <w:rsid w:val="001655C2"/>
    <w:rsid w:val="001A3E0F"/>
    <w:rsid w:val="001C1399"/>
    <w:rsid w:val="001C3C32"/>
    <w:rsid w:val="001C4E34"/>
    <w:rsid w:val="001F4628"/>
    <w:rsid w:val="00226A68"/>
    <w:rsid w:val="00232069"/>
    <w:rsid w:val="002351C0"/>
    <w:rsid w:val="002427F2"/>
    <w:rsid w:val="002527F3"/>
    <w:rsid w:val="0026481D"/>
    <w:rsid w:val="00265D54"/>
    <w:rsid w:val="00287576"/>
    <w:rsid w:val="0029797A"/>
    <w:rsid w:val="002A3DED"/>
    <w:rsid w:val="002E339B"/>
    <w:rsid w:val="002F133F"/>
    <w:rsid w:val="00312841"/>
    <w:rsid w:val="00314443"/>
    <w:rsid w:val="0031656C"/>
    <w:rsid w:val="00317B08"/>
    <w:rsid w:val="003227B0"/>
    <w:rsid w:val="00323AE2"/>
    <w:rsid w:val="00342ED4"/>
    <w:rsid w:val="0035498A"/>
    <w:rsid w:val="00356AF8"/>
    <w:rsid w:val="0036345C"/>
    <w:rsid w:val="00371E54"/>
    <w:rsid w:val="00375D6E"/>
    <w:rsid w:val="00391775"/>
    <w:rsid w:val="003A764F"/>
    <w:rsid w:val="003C3F95"/>
    <w:rsid w:val="003C5569"/>
    <w:rsid w:val="003D69E2"/>
    <w:rsid w:val="003F0805"/>
    <w:rsid w:val="003F0943"/>
    <w:rsid w:val="00402FA0"/>
    <w:rsid w:val="00406075"/>
    <w:rsid w:val="00410D5C"/>
    <w:rsid w:val="004218FE"/>
    <w:rsid w:val="00427390"/>
    <w:rsid w:val="0043381B"/>
    <w:rsid w:val="004367E3"/>
    <w:rsid w:val="00463B03"/>
    <w:rsid w:val="00482478"/>
    <w:rsid w:val="004828FC"/>
    <w:rsid w:val="00483B7E"/>
    <w:rsid w:val="00486168"/>
    <w:rsid w:val="004934CD"/>
    <w:rsid w:val="004A543D"/>
    <w:rsid w:val="004A5CFD"/>
    <w:rsid w:val="004D1D8D"/>
    <w:rsid w:val="004D5F3C"/>
    <w:rsid w:val="004E213A"/>
    <w:rsid w:val="004E3E03"/>
    <w:rsid w:val="0052497B"/>
    <w:rsid w:val="00524BA6"/>
    <w:rsid w:val="00524E6A"/>
    <w:rsid w:val="00526E41"/>
    <w:rsid w:val="0053411A"/>
    <w:rsid w:val="00543F78"/>
    <w:rsid w:val="00553B1A"/>
    <w:rsid w:val="00564CB9"/>
    <w:rsid w:val="00567638"/>
    <w:rsid w:val="00572133"/>
    <w:rsid w:val="00597B89"/>
    <w:rsid w:val="005A0178"/>
    <w:rsid w:val="005A1C81"/>
    <w:rsid w:val="005A6BBD"/>
    <w:rsid w:val="005D1E23"/>
    <w:rsid w:val="005D3F6F"/>
    <w:rsid w:val="00613F29"/>
    <w:rsid w:val="00615D61"/>
    <w:rsid w:val="00622A9F"/>
    <w:rsid w:val="00627152"/>
    <w:rsid w:val="00655696"/>
    <w:rsid w:val="006602FD"/>
    <w:rsid w:val="006802AA"/>
    <w:rsid w:val="00687A03"/>
    <w:rsid w:val="006A39B5"/>
    <w:rsid w:val="006A4F95"/>
    <w:rsid w:val="006A56C2"/>
    <w:rsid w:val="006C3613"/>
    <w:rsid w:val="006C677F"/>
    <w:rsid w:val="006D29BC"/>
    <w:rsid w:val="006E73A8"/>
    <w:rsid w:val="006F373A"/>
    <w:rsid w:val="006F4203"/>
    <w:rsid w:val="007006B9"/>
    <w:rsid w:val="0071034B"/>
    <w:rsid w:val="00710626"/>
    <w:rsid w:val="007108C1"/>
    <w:rsid w:val="00714EFF"/>
    <w:rsid w:val="00722990"/>
    <w:rsid w:val="00724C11"/>
    <w:rsid w:val="00726BDB"/>
    <w:rsid w:val="0073679C"/>
    <w:rsid w:val="007662B1"/>
    <w:rsid w:val="007742EC"/>
    <w:rsid w:val="007A1A45"/>
    <w:rsid w:val="007A52C8"/>
    <w:rsid w:val="007D581A"/>
    <w:rsid w:val="007E1864"/>
    <w:rsid w:val="007E4994"/>
    <w:rsid w:val="0081337C"/>
    <w:rsid w:val="00814060"/>
    <w:rsid w:val="0083548C"/>
    <w:rsid w:val="008511F5"/>
    <w:rsid w:val="0085413E"/>
    <w:rsid w:val="0085414B"/>
    <w:rsid w:val="0087081D"/>
    <w:rsid w:val="00870FDE"/>
    <w:rsid w:val="008724F9"/>
    <w:rsid w:val="0087560E"/>
    <w:rsid w:val="00876FAD"/>
    <w:rsid w:val="00885079"/>
    <w:rsid w:val="008913B4"/>
    <w:rsid w:val="00894053"/>
    <w:rsid w:val="008A0529"/>
    <w:rsid w:val="008B1418"/>
    <w:rsid w:val="008C0EFD"/>
    <w:rsid w:val="008C3CE0"/>
    <w:rsid w:val="008C3F27"/>
    <w:rsid w:val="008C6A36"/>
    <w:rsid w:val="008D198C"/>
    <w:rsid w:val="008F320B"/>
    <w:rsid w:val="00914876"/>
    <w:rsid w:val="009161A0"/>
    <w:rsid w:val="00924E48"/>
    <w:rsid w:val="00932F5F"/>
    <w:rsid w:val="00935004"/>
    <w:rsid w:val="00955D5E"/>
    <w:rsid w:val="009657FE"/>
    <w:rsid w:val="00982741"/>
    <w:rsid w:val="009852BE"/>
    <w:rsid w:val="009867F6"/>
    <w:rsid w:val="00997F4B"/>
    <w:rsid w:val="009B39D9"/>
    <w:rsid w:val="009B4338"/>
    <w:rsid w:val="009B79A1"/>
    <w:rsid w:val="009C52D0"/>
    <w:rsid w:val="009D38C0"/>
    <w:rsid w:val="009D3E86"/>
    <w:rsid w:val="009D5E8D"/>
    <w:rsid w:val="009D71BA"/>
    <w:rsid w:val="009D7FC2"/>
    <w:rsid w:val="009E0F6A"/>
    <w:rsid w:val="009E7F1D"/>
    <w:rsid w:val="009F3BE2"/>
    <w:rsid w:val="00A06DDD"/>
    <w:rsid w:val="00A104C5"/>
    <w:rsid w:val="00A1617C"/>
    <w:rsid w:val="00A47142"/>
    <w:rsid w:val="00A47E91"/>
    <w:rsid w:val="00A70958"/>
    <w:rsid w:val="00A76E43"/>
    <w:rsid w:val="00A84959"/>
    <w:rsid w:val="00A91D7E"/>
    <w:rsid w:val="00AA3A3B"/>
    <w:rsid w:val="00AA5AF1"/>
    <w:rsid w:val="00AA5D14"/>
    <w:rsid w:val="00AA76EC"/>
    <w:rsid w:val="00AB1B03"/>
    <w:rsid w:val="00AB2045"/>
    <w:rsid w:val="00AB350B"/>
    <w:rsid w:val="00AB5289"/>
    <w:rsid w:val="00AD4741"/>
    <w:rsid w:val="00AD57C3"/>
    <w:rsid w:val="00AE30B1"/>
    <w:rsid w:val="00AF6155"/>
    <w:rsid w:val="00B11E0B"/>
    <w:rsid w:val="00B306D2"/>
    <w:rsid w:val="00B34CED"/>
    <w:rsid w:val="00B350A1"/>
    <w:rsid w:val="00B41F73"/>
    <w:rsid w:val="00B422F1"/>
    <w:rsid w:val="00B42E6D"/>
    <w:rsid w:val="00B43EB7"/>
    <w:rsid w:val="00B5492C"/>
    <w:rsid w:val="00B57961"/>
    <w:rsid w:val="00B6662C"/>
    <w:rsid w:val="00B66C32"/>
    <w:rsid w:val="00B739ED"/>
    <w:rsid w:val="00B756E4"/>
    <w:rsid w:val="00B75D51"/>
    <w:rsid w:val="00B8120A"/>
    <w:rsid w:val="00B83208"/>
    <w:rsid w:val="00B84DA2"/>
    <w:rsid w:val="00B946E5"/>
    <w:rsid w:val="00BA53B2"/>
    <w:rsid w:val="00BC1E96"/>
    <w:rsid w:val="00BC20EA"/>
    <w:rsid w:val="00BC2242"/>
    <w:rsid w:val="00BD7A42"/>
    <w:rsid w:val="00BE109B"/>
    <w:rsid w:val="00BF0C36"/>
    <w:rsid w:val="00C1623B"/>
    <w:rsid w:val="00C220FB"/>
    <w:rsid w:val="00C22372"/>
    <w:rsid w:val="00C31945"/>
    <w:rsid w:val="00C70E8D"/>
    <w:rsid w:val="00C7529D"/>
    <w:rsid w:val="00C84ABD"/>
    <w:rsid w:val="00C943D6"/>
    <w:rsid w:val="00CA37AF"/>
    <w:rsid w:val="00CA4F01"/>
    <w:rsid w:val="00CB3C63"/>
    <w:rsid w:val="00CB4EC5"/>
    <w:rsid w:val="00CC554D"/>
    <w:rsid w:val="00CC6DAE"/>
    <w:rsid w:val="00CD0A7C"/>
    <w:rsid w:val="00CD7C53"/>
    <w:rsid w:val="00CF6FBA"/>
    <w:rsid w:val="00D00971"/>
    <w:rsid w:val="00D00E42"/>
    <w:rsid w:val="00D04476"/>
    <w:rsid w:val="00D07863"/>
    <w:rsid w:val="00D25A23"/>
    <w:rsid w:val="00D3574C"/>
    <w:rsid w:val="00D47CE4"/>
    <w:rsid w:val="00D54837"/>
    <w:rsid w:val="00D61B9E"/>
    <w:rsid w:val="00D77718"/>
    <w:rsid w:val="00D90A4F"/>
    <w:rsid w:val="00D96179"/>
    <w:rsid w:val="00D97116"/>
    <w:rsid w:val="00DA0F0D"/>
    <w:rsid w:val="00DA2C30"/>
    <w:rsid w:val="00DA7DDF"/>
    <w:rsid w:val="00DB399B"/>
    <w:rsid w:val="00DC599D"/>
    <w:rsid w:val="00DD552A"/>
    <w:rsid w:val="00DE6277"/>
    <w:rsid w:val="00DF5076"/>
    <w:rsid w:val="00DF7909"/>
    <w:rsid w:val="00DF7E58"/>
    <w:rsid w:val="00E00A44"/>
    <w:rsid w:val="00E0601B"/>
    <w:rsid w:val="00E06CE4"/>
    <w:rsid w:val="00E308F2"/>
    <w:rsid w:val="00E32D9C"/>
    <w:rsid w:val="00E363E1"/>
    <w:rsid w:val="00E366D9"/>
    <w:rsid w:val="00E475A8"/>
    <w:rsid w:val="00E54551"/>
    <w:rsid w:val="00E55676"/>
    <w:rsid w:val="00E57A60"/>
    <w:rsid w:val="00E61ABD"/>
    <w:rsid w:val="00E70DFB"/>
    <w:rsid w:val="00E71F90"/>
    <w:rsid w:val="00E85AF7"/>
    <w:rsid w:val="00E863C3"/>
    <w:rsid w:val="00E92861"/>
    <w:rsid w:val="00ED3D06"/>
    <w:rsid w:val="00EE3F3E"/>
    <w:rsid w:val="00EE5560"/>
    <w:rsid w:val="00F32264"/>
    <w:rsid w:val="00F40480"/>
    <w:rsid w:val="00F410F6"/>
    <w:rsid w:val="00F47995"/>
    <w:rsid w:val="00F52023"/>
    <w:rsid w:val="00F6118C"/>
    <w:rsid w:val="00F64B5F"/>
    <w:rsid w:val="00F8740D"/>
    <w:rsid w:val="00FF045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AE94C31"/>
  <w15:docId w15:val="{105FD4A5-1B3A-4620-9110-988FBF92B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4-TEXTE COURANT"/>
    <w:qFormat/>
    <w:rsid w:val="00AA76EC"/>
    <w:pPr>
      <w:ind w:left="709"/>
      <w:jc w:val="both"/>
    </w:pPr>
    <w:rPr>
      <w:rFonts w:ascii="Century Gothic" w:hAnsi="Century Gothic"/>
      <w:sz w:val="18"/>
      <w:szCs w:val="24"/>
    </w:rPr>
  </w:style>
  <w:style w:type="paragraph" w:styleId="Titre1">
    <w:name w:val="heading 1"/>
    <w:aliases w:val="5-PUCES"/>
    <w:basedOn w:val="Normal"/>
    <w:next w:val="Normal"/>
    <w:link w:val="Titre1Car"/>
    <w:autoRedefine/>
    <w:uiPriority w:val="9"/>
    <w:qFormat/>
    <w:rsid w:val="00C943D6"/>
    <w:pPr>
      <w:keepNext/>
      <w:numPr>
        <w:numId w:val="2"/>
      </w:numPr>
      <w:spacing w:before="60" w:after="60"/>
      <w:ind w:right="-7"/>
      <w:contextualSpacing/>
      <w:outlineLvl w:val="0"/>
    </w:pPr>
  </w:style>
  <w:style w:type="paragraph" w:styleId="Titre2">
    <w:name w:val="heading 2"/>
    <w:basedOn w:val="Normal"/>
    <w:next w:val="Normal"/>
    <w:link w:val="Titre2Car"/>
    <w:uiPriority w:val="9"/>
    <w:qFormat/>
    <w:pPr>
      <w:keepNext/>
      <w:ind w:left="-57" w:right="-426"/>
      <w:outlineLvl w:val="1"/>
    </w:pPr>
    <w:rPr>
      <w:rFonts w:ascii="Trebuchet MS" w:hAnsi="Trebuchet MS"/>
      <w:i/>
      <w:sz w:val="20"/>
      <w:u w:val="single"/>
    </w:rPr>
  </w:style>
  <w:style w:type="paragraph" w:styleId="Titre3">
    <w:name w:val="heading 3"/>
    <w:basedOn w:val="Normal"/>
    <w:next w:val="Normal"/>
    <w:link w:val="Titre3Car"/>
    <w:uiPriority w:val="9"/>
    <w:qFormat/>
    <w:pPr>
      <w:keepNext/>
      <w:ind w:left="-57" w:right="-433" w:firstLine="709"/>
      <w:outlineLvl w:val="2"/>
    </w:pPr>
    <w:rPr>
      <w:rFonts w:ascii="Trebuchet MS" w:hAnsi="Trebuchet MS"/>
      <w:b/>
      <w:b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Pr>
      <w:sz w:val="20"/>
      <w:szCs w:val="20"/>
    </w:rPr>
  </w:style>
  <w:style w:type="character" w:styleId="Appelnotedebasdep">
    <w:name w:val="footnote reference"/>
    <w:semiHidden/>
    <w:rPr>
      <w:vertAlign w:val="superscript"/>
    </w:rPr>
  </w:style>
  <w:style w:type="paragraph" w:styleId="En-tte">
    <w:name w:val="header"/>
    <w:basedOn w:val="Normal"/>
    <w:link w:val="En-tteCar"/>
    <w:autoRedefine/>
    <w:uiPriority w:val="99"/>
    <w:rsid w:val="00CD7C53"/>
    <w:pPr>
      <w:tabs>
        <w:tab w:val="center" w:pos="4536"/>
        <w:tab w:val="right" w:pos="9072"/>
      </w:tabs>
    </w:pPr>
    <w:rPr>
      <w:sz w:val="14"/>
    </w:rPr>
  </w:style>
  <w:style w:type="character" w:customStyle="1" w:styleId="En-tteCar">
    <w:name w:val="En-tête Car"/>
    <w:basedOn w:val="Policepardfaut"/>
    <w:link w:val="En-tte"/>
    <w:uiPriority w:val="99"/>
    <w:rsid w:val="00CD7C53"/>
    <w:rPr>
      <w:rFonts w:ascii="Century Gothic" w:hAnsi="Century Gothic"/>
      <w:sz w:val="14"/>
      <w:szCs w:val="24"/>
    </w:rPr>
  </w:style>
  <w:style w:type="paragraph" w:styleId="Pieddepage">
    <w:name w:val="footer"/>
    <w:basedOn w:val="Normal"/>
    <w:link w:val="PieddepageCar"/>
    <w:autoRedefine/>
    <w:uiPriority w:val="99"/>
    <w:rsid w:val="008F320B"/>
    <w:pPr>
      <w:ind w:left="0"/>
    </w:pPr>
    <w:rPr>
      <w:sz w:val="14"/>
    </w:rPr>
  </w:style>
  <w:style w:type="character" w:customStyle="1" w:styleId="PieddepageCar">
    <w:name w:val="Pied de page Car"/>
    <w:basedOn w:val="Policepardfaut"/>
    <w:link w:val="Pieddepage"/>
    <w:uiPriority w:val="99"/>
    <w:rsid w:val="008F320B"/>
    <w:rPr>
      <w:rFonts w:ascii="Century Gothic" w:hAnsi="Century Gothic"/>
      <w:sz w:val="14"/>
      <w:szCs w:val="24"/>
    </w:rPr>
  </w:style>
  <w:style w:type="table" w:styleId="Grilledutableau">
    <w:name w:val="Table Grid"/>
    <w:basedOn w:val="TableauNormal"/>
    <w:rsid w:val="00BC2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TITRE3">
    <w:name w:val="3-TITRE 3"/>
    <w:basedOn w:val="Normal"/>
    <w:next w:val="Normal"/>
    <w:autoRedefine/>
    <w:qFormat/>
    <w:rsid w:val="009F3BE2"/>
    <w:pPr>
      <w:spacing w:before="60" w:after="60"/>
      <w:ind w:left="0"/>
      <w:contextualSpacing/>
    </w:pPr>
    <w:rPr>
      <w:color w:val="5C2D91"/>
    </w:rPr>
  </w:style>
  <w:style w:type="paragraph" w:styleId="Textedebulles">
    <w:name w:val="Balloon Text"/>
    <w:basedOn w:val="Normal"/>
    <w:link w:val="TextedebullesCar"/>
    <w:uiPriority w:val="99"/>
    <w:semiHidden/>
    <w:rsid w:val="00E71F90"/>
    <w:rPr>
      <w:rFonts w:ascii="Tahoma" w:hAnsi="Tahoma"/>
      <w:sz w:val="16"/>
      <w:szCs w:val="16"/>
    </w:rPr>
  </w:style>
  <w:style w:type="paragraph" w:customStyle="1" w:styleId="0-TITRERAPPORT">
    <w:name w:val="0-TITRE RAPPORT"/>
    <w:basedOn w:val="Normal"/>
    <w:autoRedefine/>
    <w:qFormat/>
    <w:rsid w:val="00AA76EC"/>
    <w:pPr>
      <w:framePr w:hSpace="141" w:wrap="around" w:vAnchor="text" w:hAnchor="margin" w:xAlign="right" w:y="2979"/>
      <w:ind w:left="0"/>
      <w:jc w:val="left"/>
    </w:pPr>
    <w:rPr>
      <w:rFonts w:eastAsia="MS Mincho"/>
      <w:caps/>
      <w:color w:val="5C2D91"/>
      <w:sz w:val="52"/>
      <w:szCs w:val="52"/>
      <w:lang w:eastAsia="ja-JP"/>
    </w:rPr>
  </w:style>
  <w:style w:type="paragraph" w:customStyle="1" w:styleId="1-TITRE1">
    <w:name w:val="1-TITRE 1"/>
    <w:basedOn w:val="Normal"/>
    <w:next w:val="Normal"/>
    <w:autoRedefine/>
    <w:qFormat/>
    <w:rsid w:val="00714EFF"/>
    <w:pPr>
      <w:numPr>
        <w:numId w:val="4"/>
      </w:numPr>
      <w:spacing w:before="160" w:after="160"/>
    </w:pPr>
    <w:rPr>
      <w:rFonts w:eastAsia="Times"/>
      <w:caps/>
      <w:noProof/>
      <w:w w:val="105"/>
      <w:sz w:val="24"/>
      <w:szCs w:val="32"/>
    </w:rPr>
  </w:style>
  <w:style w:type="paragraph" w:customStyle="1" w:styleId="2-TITRE2">
    <w:name w:val="2-TITRE 2"/>
    <w:basedOn w:val="Normal"/>
    <w:next w:val="Normal"/>
    <w:qFormat/>
    <w:rsid w:val="00C943D6"/>
    <w:pPr>
      <w:spacing w:before="60" w:after="60"/>
      <w:ind w:left="0"/>
    </w:pPr>
    <w:rPr>
      <w:b/>
      <w:color w:val="5C2D91"/>
      <w:sz w:val="22"/>
      <w:szCs w:val="18"/>
    </w:rPr>
  </w:style>
  <w:style w:type="numbering" w:customStyle="1" w:styleId="Hcrestabledesmatires">
    <w:name w:val="Hcéres table des matières"/>
    <w:uiPriority w:val="99"/>
    <w:rsid w:val="00CD0A7C"/>
    <w:pPr>
      <w:numPr>
        <w:numId w:val="1"/>
      </w:numPr>
    </w:pPr>
  </w:style>
  <w:style w:type="paragraph" w:styleId="En-ttedetabledesmatires">
    <w:name w:val="TOC Heading"/>
    <w:basedOn w:val="Titre1"/>
    <w:next w:val="Normal"/>
    <w:uiPriority w:val="39"/>
    <w:unhideWhenUsed/>
    <w:qFormat/>
    <w:rsid w:val="004D1D8D"/>
    <w:pPr>
      <w:keepLines/>
      <w:spacing w:before="480" w:line="276" w:lineRule="auto"/>
      <w:ind w:left="0" w:right="0"/>
      <w:jc w:val="left"/>
      <w:outlineLvl w:val="9"/>
    </w:pPr>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914876"/>
    <w:rPr>
      <w:rFonts w:ascii="Trebuchet MS" w:hAnsi="Trebuchet MS"/>
      <w:i/>
      <w:szCs w:val="24"/>
      <w:u w:val="single"/>
    </w:rPr>
  </w:style>
  <w:style w:type="character" w:customStyle="1" w:styleId="Titre3Car">
    <w:name w:val="Titre 3 Car"/>
    <w:basedOn w:val="Policepardfaut"/>
    <w:link w:val="Titre3"/>
    <w:uiPriority w:val="9"/>
    <w:rsid w:val="00CA4F01"/>
    <w:rPr>
      <w:rFonts w:ascii="Trebuchet MS" w:hAnsi="Trebuchet MS"/>
      <w:b/>
      <w:bCs/>
      <w:szCs w:val="24"/>
    </w:rPr>
  </w:style>
  <w:style w:type="paragraph" w:customStyle="1" w:styleId="xmsonormal">
    <w:name w:val="x_msonormal"/>
    <w:basedOn w:val="Normal"/>
    <w:rsid w:val="00CA4F01"/>
    <w:pPr>
      <w:spacing w:before="100" w:beforeAutospacing="1" w:after="100" w:afterAutospacing="1"/>
      <w:ind w:left="0"/>
      <w:jc w:val="left"/>
    </w:pPr>
    <w:rPr>
      <w:rFonts w:ascii="Times New Roman" w:hAnsi="Times New Roman"/>
      <w:sz w:val="24"/>
      <w:lang w:eastAsia="fr-FR"/>
    </w:rPr>
  </w:style>
  <w:style w:type="paragraph" w:styleId="Paragraphedeliste">
    <w:name w:val="List Paragraph"/>
    <w:basedOn w:val="Normal"/>
    <w:link w:val="ParagraphedelisteCar"/>
    <w:uiPriority w:val="34"/>
    <w:qFormat/>
    <w:rsid w:val="00CA4F01"/>
    <w:pPr>
      <w:ind w:left="720"/>
      <w:contextualSpacing/>
      <w:jc w:val="left"/>
    </w:pPr>
    <w:rPr>
      <w:rFonts w:asciiTheme="minorHAnsi" w:eastAsiaTheme="minorHAnsi" w:hAnsiTheme="minorHAnsi" w:cstheme="minorBidi"/>
      <w:sz w:val="24"/>
    </w:rPr>
  </w:style>
  <w:style w:type="character" w:styleId="Marquedecommentaire">
    <w:name w:val="annotation reference"/>
    <w:basedOn w:val="Policepardfaut"/>
    <w:unhideWhenUsed/>
    <w:rsid w:val="00CA4F01"/>
    <w:rPr>
      <w:sz w:val="16"/>
      <w:szCs w:val="16"/>
    </w:rPr>
  </w:style>
  <w:style w:type="paragraph" w:styleId="Commentaire">
    <w:name w:val="annotation text"/>
    <w:basedOn w:val="Normal"/>
    <w:link w:val="CommentaireCar"/>
    <w:unhideWhenUsed/>
    <w:rsid w:val="00CA4F01"/>
    <w:pPr>
      <w:spacing w:after="160"/>
      <w:ind w:left="0"/>
      <w:jc w:val="left"/>
    </w:pPr>
    <w:rPr>
      <w:rFonts w:asciiTheme="minorHAnsi" w:eastAsiaTheme="minorHAnsi" w:hAnsiTheme="minorHAnsi" w:cstheme="minorBidi"/>
      <w:sz w:val="20"/>
      <w:szCs w:val="20"/>
    </w:rPr>
  </w:style>
  <w:style w:type="character" w:customStyle="1" w:styleId="CommentaireCar">
    <w:name w:val="Commentaire Car"/>
    <w:basedOn w:val="Policepardfaut"/>
    <w:link w:val="Commentaire"/>
    <w:rsid w:val="00CA4F01"/>
    <w:rPr>
      <w:rFonts w:asciiTheme="minorHAnsi" w:eastAsiaTheme="minorHAnsi" w:hAnsiTheme="minorHAnsi" w:cstheme="minorBidi"/>
    </w:rPr>
  </w:style>
  <w:style w:type="paragraph" w:styleId="Objetducommentaire">
    <w:name w:val="annotation subject"/>
    <w:basedOn w:val="Commentaire"/>
    <w:next w:val="Commentaire"/>
    <w:link w:val="ObjetducommentaireCar"/>
    <w:uiPriority w:val="99"/>
    <w:semiHidden/>
    <w:unhideWhenUsed/>
    <w:rsid w:val="00CA4F01"/>
    <w:rPr>
      <w:b/>
      <w:bCs/>
    </w:rPr>
  </w:style>
  <w:style w:type="character" w:customStyle="1" w:styleId="ObjetducommentaireCar">
    <w:name w:val="Objet du commentaire Car"/>
    <w:basedOn w:val="CommentaireCar"/>
    <w:link w:val="Objetducommentaire"/>
    <w:uiPriority w:val="99"/>
    <w:semiHidden/>
    <w:rsid w:val="00CA4F01"/>
    <w:rPr>
      <w:rFonts w:asciiTheme="minorHAnsi" w:eastAsiaTheme="minorHAnsi" w:hAnsiTheme="minorHAnsi" w:cstheme="minorBidi"/>
      <w:b/>
      <w:bCs/>
    </w:rPr>
  </w:style>
  <w:style w:type="character" w:customStyle="1" w:styleId="TextedebullesCar">
    <w:name w:val="Texte de bulles Car"/>
    <w:basedOn w:val="Policepardfaut"/>
    <w:link w:val="Textedebulles"/>
    <w:uiPriority w:val="99"/>
    <w:semiHidden/>
    <w:rsid w:val="00CA4F01"/>
    <w:rPr>
      <w:rFonts w:ascii="Tahoma" w:hAnsi="Tahoma"/>
      <w:sz w:val="16"/>
      <w:szCs w:val="16"/>
    </w:rPr>
  </w:style>
  <w:style w:type="character" w:customStyle="1" w:styleId="NotedebasdepageCar">
    <w:name w:val="Note de bas de page Car"/>
    <w:basedOn w:val="Policepardfaut"/>
    <w:link w:val="Notedebasdepage"/>
    <w:semiHidden/>
    <w:rsid w:val="00CA4F01"/>
    <w:rPr>
      <w:rFonts w:ascii="Century Gothic" w:hAnsi="Century Gothic"/>
    </w:rPr>
  </w:style>
  <w:style w:type="paragraph" w:styleId="Rvision">
    <w:name w:val="Revision"/>
    <w:hidden/>
    <w:uiPriority w:val="99"/>
    <w:semiHidden/>
    <w:rsid w:val="00CA4F01"/>
    <w:rPr>
      <w:rFonts w:asciiTheme="minorHAnsi" w:eastAsiaTheme="minorHAnsi" w:hAnsiTheme="minorHAnsi" w:cstheme="minorBidi"/>
      <w:sz w:val="22"/>
      <w:szCs w:val="22"/>
    </w:rPr>
  </w:style>
  <w:style w:type="character" w:customStyle="1" w:styleId="Titre1Car">
    <w:name w:val="Titre 1 Car"/>
    <w:aliases w:val="5-PUCES Car"/>
    <w:basedOn w:val="Policepardfaut"/>
    <w:link w:val="Titre1"/>
    <w:uiPriority w:val="9"/>
    <w:rsid w:val="00CA4F01"/>
    <w:rPr>
      <w:rFonts w:ascii="Century Gothic" w:hAnsi="Century Gothic"/>
      <w:sz w:val="18"/>
      <w:szCs w:val="24"/>
    </w:rPr>
  </w:style>
  <w:style w:type="paragraph" w:styleId="TM3">
    <w:name w:val="toc 3"/>
    <w:basedOn w:val="Normal"/>
    <w:next w:val="Normal"/>
    <w:autoRedefine/>
    <w:uiPriority w:val="39"/>
    <w:unhideWhenUsed/>
    <w:rsid w:val="00CA4F01"/>
    <w:pPr>
      <w:tabs>
        <w:tab w:val="right" w:leader="dot" w:pos="9062"/>
      </w:tabs>
      <w:spacing w:after="100" w:line="259" w:lineRule="auto"/>
      <w:ind w:left="440"/>
      <w:jc w:val="left"/>
    </w:pPr>
    <w:rPr>
      <w:rFonts w:asciiTheme="minorHAnsi" w:eastAsiaTheme="minorHAnsi" w:hAnsiTheme="minorHAnsi" w:cstheme="minorBidi"/>
      <w:sz w:val="22"/>
      <w:szCs w:val="22"/>
    </w:rPr>
  </w:style>
  <w:style w:type="paragraph" w:styleId="TM1">
    <w:name w:val="toc 1"/>
    <w:basedOn w:val="Normal"/>
    <w:next w:val="Normal"/>
    <w:autoRedefine/>
    <w:uiPriority w:val="39"/>
    <w:unhideWhenUsed/>
    <w:rsid w:val="0053411A"/>
    <w:pPr>
      <w:tabs>
        <w:tab w:val="right" w:leader="dot" w:pos="9622"/>
      </w:tabs>
      <w:spacing w:after="100" w:line="259" w:lineRule="auto"/>
      <w:ind w:left="0"/>
      <w:jc w:val="left"/>
    </w:pPr>
    <w:rPr>
      <w:rFonts w:eastAsiaTheme="minorHAnsi" w:cstheme="minorBidi"/>
      <w:noProof/>
      <w:color w:val="ED145B"/>
      <w:sz w:val="24"/>
      <w:szCs w:val="22"/>
    </w:rPr>
  </w:style>
  <w:style w:type="paragraph" w:styleId="TM2">
    <w:name w:val="toc 2"/>
    <w:basedOn w:val="Normal"/>
    <w:next w:val="Normal"/>
    <w:autoRedefine/>
    <w:uiPriority w:val="39"/>
    <w:unhideWhenUsed/>
    <w:rsid w:val="0053411A"/>
    <w:pPr>
      <w:tabs>
        <w:tab w:val="right" w:leader="dot" w:pos="9622"/>
      </w:tabs>
      <w:spacing w:after="100" w:line="259" w:lineRule="auto"/>
      <w:ind w:left="220"/>
      <w:jc w:val="left"/>
    </w:pPr>
    <w:rPr>
      <w:rFonts w:eastAsiaTheme="minorHAnsi" w:cstheme="minorBidi"/>
      <w:noProof/>
      <w:w w:val="105"/>
      <w:sz w:val="20"/>
      <w:szCs w:val="22"/>
    </w:rPr>
  </w:style>
  <w:style w:type="character" w:styleId="Lienhypertexte">
    <w:name w:val="Hyperlink"/>
    <w:basedOn w:val="Policepardfaut"/>
    <w:uiPriority w:val="99"/>
    <w:unhideWhenUsed/>
    <w:rsid w:val="00CA4F01"/>
    <w:rPr>
      <w:color w:val="0000FF" w:themeColor="hyperlink"/>
      <w:u w:val="single"/>
    </w:rPr>
  </w:style>
  <w:style w:type="character" w:customStyle="1" w:styleId="Aucun">
    <w:name w:val="Aucun"/>
    <w:rsid w:val="00CA4F01"/>
  </w:style>
  <w:style w:type="paragraph" w:customStyle="1" w:styleId="Style7">
    <w:name w:val="Style7"/>
    <w:basedOn w:val="Paragraphedeliste"/>
    <w:link w:val="Style7Car"/>
    <w:autoRedefine/>
    <w:qFormat/>
    <w:rsid w:val="00CA4F01"/>
    <w:pPr>
      <w:spacing w:line="276" w:lineRule="auto"/>
      <w:ind w:left="0"/>
      <w:jc w:val="both"/>
    </w:pPr>
    <w:rPr>
      <w:rFonts w:ascii="Century Gothic" w:eastAsia="Times New Roman" w:hAnsi="Century Gothic" w:cs="Times New Roman"/>
      <w:sz w:val="18"/>
    </w:rPr>
  </w:style>
  <w:style w:type="character" w:customStyle="1" w:styleId="Style7Car">
    <w:name w:val="Style7 Car"/>
    <w:basedOn w:val="Policepardfaut"/>
    <w:link w:val="Style7"/>
    <w:rsid w:val="00CA4F01"/>
    <w:rPr>
      <w:rFonts w:ascii="Century Gothic" w:hAnsi="Century Gothic"/>
      <w:sz w:val="18"/>
      <w:szCs w:val="24"/>
    </w:rPr>
  </w:style>
  <w:style w:type="paragraph" w:styleId="NormalWeb">
    <w:name w:val="Normal (Web)"/>
    <w:basedOn w:val="Normal"/>
    <w:uiPriority w:val="99"/>
    <w:semiHidden/>
    <w:unhideWhenUsed/>
    <w:rsid w:val="00CA4F01"/>
    <w:pPr>
      <w:spacing w:before="100" w:beforeAutospacing="1" w:after="100" w:afterAutospacing="1"/>
      <w:ind w:left="0"/>
      <w:jc w:val="left"/>
    </w:pPr>
    <w:rPr>
      <w:rFonts w:ascii="Times New Roman" w:eastAsiaTheme="minorEastAsia" w:hAnsi="Times New Roman"/>
      <w:sz w:val="24"/>
      <w:lang w:eastAsia="fr-FR"/>
    </w:rPr>
  </w:style>
  <w:style w:type="character" w:customStyle="1" w:styleId="hgkelc">
    <w:name w:val="hgkelc"/>
    <w:basedOn w:val="Policepardfaut"/>
    <w:rsid w:val="00CA4F01"/>
  </w:style>
  <w:style w:type="character" w:customStyle="1" w:styleId="ParagraphedelisteCar">
    <w:name w:val="Paragraphe de liste Car"/>
    <w:basedOn w:val="Policepardfaut"/>
    <w:link w:val="Paragraphedeliste"/>
    <w:uiPriority w:val="34"/>
    <w:rsid w:val="00B6662C"/>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47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7E6F0-0178-4EDF-8F13-2F2A8EC5A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926</Words>
  <Characters>5094</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AGENCE D’ÉVALUATION DE L’ENSEIGNEMENT SUPERIEUR</vt:lpstr>
    </vt:vector>
  </TitlesOfParts>
  <Company>Ministere de l'Education Nationale</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AGENCE D’ÉVALUATION DE L’ENSEIGNEMENT SUPERIEUR</dc:title>
  <dc:creator>Sandrine Leboucher</dc:creator>
  <cp:lastModifiedBy>FLORIAN MARQUIS</cp:lastModifiedBy>
  <cp:revision>5</cp:revision>
  <cp:lastPrinted>2017-07-24T13:54:00Z</cp:lastPrinted>
  <dcterms:created xsi:type="dcterms:W3CDTF">2022-09-12T12:21:00Z</dcterms:created>
  <dcterms:modified xsi:type="dcterms:W3CDTF">2022-09-26T09:54:00Z</dcterms:modified>
</cp:coreProperties>
</file>